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C9317E">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643" w:firstLineChars="200"/>
        <w:jc w:val="center"/>
        <w:textAlignment w:val="auto"/>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lang w:val="en-US" w:eastAsia="zh-CN"/>
        </w:rPr>
        <w:t>内分泌代谢科</w:t>
      </w:r>
    </w:p>
    <w:p w14:paraId="5749835D">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643" w:firstLineChars="200"/>
        <w:jc w:val="center"/>
        <w:textAlignment w:val="auto"/>
        <w:rPr>
          <w:rFonts w:hint="eastAsia" w:asciiTheme="majorEastAsia" w:hAnsiTheme="majorEastAsia" w:eastAsiaTheme="majorEastAsia" w:cstheme="majorEastAsia"/>
          <w:sz w:val="32"/>
          <w:szCs w:val="32"/>
        </w:rPr>
      </w:pPr>
      <w:r>
        <w:rPr>
          <w:rStyle w:val="7"/>
          <w:rFonts w:hint="eastAsia" w:asciiTheme="majorEastAsia" w:hAnsiTheme="majorEastAsia" w:eastAsiaTheme="majorEastAsia" w:cstheme="majorEastAsia"/>
          <w:sz w:val="32"/>
          <w:szCs w:val="32"/>
        </w:rPr>
        <w:t>专业介绍</w:t>
      </w:r>
    </w:p>
    <w:p w14:paraId="54D326B0">
      <w:pPr>
        <w:keepNext w:val="0"/>
        <w:keepLines w:val="0"/>
        <w:pageBreakBefore w:val="0"/>
        <w:widowControl/>
        <w:kinsoku/>
        <w:wordWrap/>
        <w:overflowPunct/>
        <w:topLinePunct w:val="0"/>
        <w:autoSpaceDE/>
        <w:autoSpaceDN/>
        <w:bidi w:val="0"/>
        <w:adjustRightInd/>
        <w:snapToGrid/>
        <w:spacing w:before="180"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color w:val="auto"/>
          <w:kern w:val="0"/>
          <w:sz w:val="24"/>
          <w:szCs w:val="24"/>
        </w:rPr>
        <w:t>【科室概况】</w:t>
      </w:r>
    </w:p>
    <w:p w14:paraId="360F0BA7">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内分泌</w:t>
      </w:r>
      <w:r>
        <w:rPr>
          <w:rFonts w:hint="default" w:ascii="Times New Roman" w:hAnsi="Times New Roman" w:eastAsia="宋体" w:cs="Times New Roman"/>
          <w:sz w:val="24"/>
          <w:szCs w:val="24"/>
        </w:rPr>
        <w:t>专业是</w:t>
      </w:r>
      <w:r>
        <w:rPr>
          <w:rFonts w:hint="default" w:ascii="Times New Roman" w:hAnsi="Times New Roman" w:eastAsia="宋体" w:cs="Times New Roman"/>
          <w:sz w:val="24"/>
          <w:szCs w:val="24"/>
          <w:lang w:val="en-US" w:eastAsia="zh-CN"/>
        </w:rPr>
        <w:t>湛江中心人民医院</w:t>
      </w:r>
      <w:r>
        <w:rPr>
          <w:rFonts w:hint="default" w:ascii="Times New Roman" w:hAnsi="Times New Roman" w:eastAsia="宋体" w:cs="Times New Roman"/>
          <w:sz w:val="24"/>
          <w:szCs w:val="24"/>
        </w:rPr>
        <w:t>药物临床试验机构专业之一，设在</w:t>
      </w:r>
      <w:r>
        <w:rPr>
          <w:rFonts w:hint="default" w:ascii="Times New Roman" w:hAnsi="Times New Roman" w:eastAsia="宋体" w:cs="Times New Roman"/>
          <w:sz w:val="24"/>
          <w:szCs w:val="24"/>
          <w:lang w:val="en-US" w:eastAsia="zh-CN"/>
        </w:rPr>
        <w:t>湛江中心人民医院内分泌代谢科</w:t>
      </w: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湛江中心人民医院内分泌代谢科</w:t>
      </w:r>
      <w:r>
        <w:rPr>
          <w:rFonts w:hint="default" w:ascii="Times New Roman" w:hAnsi="Times New Roman" w:eastAsia="宋体" w:cs="Times New Roman"/>
          <w:sz w:val="24"/>
          <w:szCs w:val="24"/>
        </w:rPr>
        <w:t>成立于2000年，是集临床医疗、教学、科研一体，年轻充满活力的科室</w:t>
      </w:r>
      <w:r>
        <w:rPr>
          <w:rFonts w:hint="default" w:ascii="Times New Roman" w:hAnsi="Times New Roman" w:eastAsia="宋体" w:cs="Times New Roman"/>
          <w:sz w:val="24"/>
          <w:szCs w:val="24"/>
          <w:lang w:val="en-US" w:eastAsia="zh-CN"/>
        </w:rPr>
        <w:t>,拥有一支临床经验丰富、技术精湛的医疗团队，在科室主任黄春教授的带领下，长期致力于内分泌代谢疾病的临床诊疗和科学研究。</w:t>
      </w:r>
    </w:p>
    <w:p w14:paraId="2A44CF06">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both"/>
        <w:textAlignment w:val="auto"/>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lang w:val="en-US" w:eastAsia="zh-CN"/>
        </w:rPr>
        <w:t>我们科室在糖尿病、甲状腺疾病、骨质疏松、垂体疾病、肾上腺疾病等内分泌常见病和疑难病的诊治方面积累了丰富的经验，并始终坚持以患者为中心，不断提升医疗服务质量。</w:t>
      </w:r>
      <w:r>
        <w:rPr>
          <w:rFonts w:hint="default" w:ascii="Times New Roman" w:hAnsi="Times New Roman" w:eastAsia="宋体" w:cs="Times New Roman"/>
          <w:sz w:val="24"/>
          <w:szCs w:val="24"/>
          <w:lang w:eastAsia="zh-CN"/>
        </w:rPr>
        <w:t>开展与省内、外专家到科内查房交流或进行远程视频病例讨论，定期开办市级继续教育糖尿病新进展学习班、省级继续教育甲状腺疾病学习班、国家级继续教育北部湾内分泌代谢高峰论坛，加强省内、粤西地区内分泌同行学术交流。</w:t>
      </w:r>
      <w:bookmarkStart w:id="0" w:name="_GoBack"/>
      <w:bookmarkEnd w:id="0"/>
    </w:p>
    <w:p w14:paraId="2B1B941A">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eastAsia="zh-CN"/>
        </w:rPr>
        <w:t>我科是粤西地区最早开展</w:t>
      </w:r>
      <w:r>
        <w:rPr>
          <w:rFonts w:hint="default" w:ascii="Times New Roman" w:hAnsi="Times New Roman" w:eastAsia="宋体" w:cs="Times New Roman"/>
          <w:sz w:val="24"/>
          <w:szCs w:val="24"/>
        </w:rPr>
        <w:t>药物临床试验专业机构之一</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b w:val="0"/>
          <w:bCs w:val="0"/>
          <w:sz w:val="24"/>
          <w:szCs w:val="24"/>
          <w:lang w:val="en-US" w:eastAsia="zh-CN"/>
        </w:rPr>
        <w:t>2006年参加中华医学会糖尿病学分会主任委员杨文英教授发起的</w:t>
      </w:r>
      <w:r>
        <w:rPr>
          <w:rFonts w:hint="default" w:ascii="Times New Roman" w:hAnsi="Times New Roman" w:eastAsia="宋体" w:cs="Times New Roman"/>
          <w:b w:val="0"/>
          <w:bCs/>
          <w:kern w:val="0"/>
          <w:sz w:val="24"/>
          <w:szCs w:val="24"/>
        </w:rPr>
        <w:t>申办方</w:t>
      </w:r>
      <w:r>
        <w:rPr>
          <w:rFonts w:hint="default" w:ascii="Times New Roman" w:hAnsi="Times New Roman" w:eastAsia="宋体" w:cs="Times New Roman"/>
          <w:b w:val="0"/>
          <w:bCs/>
          <w:kern w:val="0"/>
          <w:sz w:val="24"/>
          <w:szCs w:val="24"/>
          <w:lang w:eastAsia="zh-CN"/>
        </w:rPr>
        <w:t>为</w:t>
      </w:r>
      <w:r>
        <w:rPr>
          <w:rFonts w:hint="default" w:ascii="Times New Roman" w:hAnsi="Times New Roman" w:eastAsia="宋体" w:cs="Times New Roman"/>
          <w:sz w:val="24"/>
          <w:szCs w:val="24"/>
          <w:lang w:val="en-US" w:eastAsia="zh-CN"/>
        </w:rPr>
        <w:t>诺和诺德公司的“</w:t>
      </w:r>
      <w:r>
        <w:rPr>
          <w:rFonts w:hint="default" w:ascii="Times New Roman" w:hAnsi="Times New Roman" w:eastAsia="宋体" w:cs="Times New Roman"/>
          <w:i w:val="0"/>
          <w:iCs w:val="0"/>
          <w:caps w:val="0"/>
          <w:color w:val="242424"/>
          <w:spacing w:val="0"/>
          <w:sz w:val="24"/>
          <w:szCs w:val="24"/>
          <w:shd w:val="clear" w:fill="FFFFFF"/>
        </w:rPr>
        <w:t>观察预混胰岛素类似物诺和锐®30的临床疗效和安全性</w:t>
      </w:r>
      <w:r>
        <w:rPr>
          <w:rFonts w:hint="default" w:ascii="Times New Roman" w:hAnsi="Times New Roman" w:eastAsia="宋体" w:cs="Times New Roman"/>
          <w:i w:val="0"/>
          <w:iCs w:val="0"/>
          <w:caps w:val="0"/>
          <w:color w:val="242424"/>
          <w:spacing w:val="0"/>
          <w:sz w:val="24"/>
          <w:szCs w:val="24"/>
          <w:shd w:val="clear" w:fill="FFFFFF"/>
          <w:lang w:eastAsia="zh-CN"/>
        </w:rPr>
        <w:t>的</w:t>
      </w:r>
      <w:r>
        <w:rPr>
          <w:rFonts w:hint="default" w:ascii="Times New Roman" w:hAnsi="Times New Roman" w:eastAsia="宋体" w:cs="Times New Roman"/>
          <w:i w:val="0"/>
          <w:iCs w:val="0"/>
          <w:caps w:val="0"/>
          <w:color w:val="242424"/>
          <w:spacing w:val="0"/>
          <w:sz w:val="24"/>
          <w:szCs w:val="24"/>
          <w:shd w:val="clear" w:fill="FFFFFF"/>
        </w:rPr>
        <w:t>研究</w:t>
      </w:r>
      <w:r>
        <w:rPr>
          <w:rFonts w:hint="default" w:ascii="Times New Roman" w:hAnsi="Times New Roman" w:eastAsia="宋体" w:cs="Times New Roman"/>
          <w:sz w:val="24"/>
          <w:szCs w:val="24"/>
          <w:lang w:val="en-US" w:eastAsia="zh-CN"/>
        </w:rPr>
        <w:t>”</w:t>
      </w:r>
      <w:r>
        <w:rPr>
          <w:rFonts w:hint="default" w:ascii="Times New Roman" w:hAnsi="Times New Roman" w:eastAsia="宋体" w:cs="Times New Roman"/>
          <w:i w:val="0"/>
          <w:iCs w:val="0"/>
          <w:caps w:val="0"/>
          <w:color w:val="242424"/>
          <w:spacing w:val="0"/>
          <w:sz w:val="24"/>
          <w:szCs w:val="24"/>
          <w:shd w:val="clear" w:fill="FFFFFF"/>
          <w:lang w:eastAsia="zh-CN"/>
        </w:rPr>
        <w:t>（</w:t>
      </w:r>
      <w:r>
        <w:rPr>
          <w:rFonts w:hint="default" w:ascii="Times New Roman" w:hAnsi="Times New Roman" w:eastAsia="宋体" w:cs="Times New Roman"/>
          <w:sz w:val="24"/>
          <w:szCs w:val="24"/>
          <w:lang w:val="en-US" w:eastAsia="zh-CN"/>
        </w:rPr>
        <w:t>IMPROVE国际研究</w:t>
      </w:r>
      <w:r>
        <w:rPr>
          <w:rFonts w:hint="default" w:ascii="Times New Roman" w:hAnsi="Times New Roman" w:eastAsia="宋体" w:cs="Times New Roman"/>
          <w:i w:val="0"/>
          <w:iCs w:val="0"/>
          <w:caps w:val="0"/>
          <w:color w:val="242424"/>
          <w:spacing w:val="0"/>
          <w:sz w:val="24"/>
          <w:szCs w:val="24"/>
          <w:shd w:val="clear" w:fill="FFFFFF"/>
          <w:lang w:eastAsia="zh-CN"/>
        </w:rPr>
        <w:t>），</w:t>
      </w:r>
      <w:r>
        <w:rPr>
          <w:rFonts w:hint="default" w:ascii="Times New Roman" w:hAnsi="Times New Roman" w:eastAsia="宋体" w:cs="Times New Roman"/>
          <w:sz w:val="24"/>
          <w:szCs w:val="24"/>
          <w:lang w:val="en-US" w:eastAsia="zh-CN"/>
        </w:rPr>
        <w:t>近年来，为了更好地服务患者，推动内分泌领域医学发展，湛江中心人民医院内分泌代谢科积极开展GCP项目，引进国际先进的临床研究理念和技术。我们严格按照GCP规范，对临床试验进行科学设计、规范操作和严谨管理，力求为患者提供更多、更好的治疗选择，已开展药物临床研究十多项，2025年由我科发起的“</w:t>
      </w:r>
      <w:r>
        <w:rPr>
          <w:rFonts w:hint="default" w:ascii="Times New Roman" w:hAnsi="Times New Roman" w:eastAsia="宋体" w:cs="Times New Roman"/>
          <w:b w:val="0"/>
          <w:bCs w:val="0"/>
          <w:color w:val="000000"/>
          <w:kern w:val="0"/>
          <w:sz w:val="24"/>
          <w:szCs w:val="24"/>
          <w:lang w:val="en-US" w:eastAsia="zh-CN" w:bidi="ar"/>
        </w:rPr>
        <w:t>恒格列净对降低2型糖尿病患者的血清尿酸水平的有效性与安全性的真实世界研究</w:t>
      </w:r>
      <w:r>
        <w:rPr>
          <w:rFonts w:hint="default" w:ascii="Times New Roman" w:hAnsi="Times New Roman" w:eastAsia="宋体" w:cs="Times New Roman"/>
          <w:sz w:val="24"/>
          <w:szCs w:val="24"/>
          <w:lang w:val="en-US" w:eastAsia="zh-CN"/>
        </w:rPr>
        <w:t>”已启动，有十多家医院参与该项目。</w:t>
      </w:r>
    </w:p>
    <w:p w14:paraId="3EF16E2C">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both"/>
        <w:textAlignment w:val="auto"/>
        <w:rPr>
          <w:rFonts w:hint="default" w:ascii="Times New Roman" w:hAnsi="Times New Roman" w:eastAsia="宋体" w:cs="Times New Roman"/>
          <w:color w:val="000000"/>
          <w:kern w:val="0"/>
          <w:sz w:val="24"/>
          <w:szCs w:val="24"/>
          <w:lang w:val="en-US" w:eastAsia="zh-CN" w:bidi="ar"/>
        </w:rPr>
      </w:pPr>
      <w:r>
        <w:rPr>
          <w:rFonts w:hint="default" w:ascii="Times New Roman" w:hAnsi="Times New Roman" w:eastAsia="宋体" w:cs="Times New Roman"/>
          <w:sz w:val="24"/>
          <w:szCs w:val="24"/>
          <w:lang w:val="en-US" w:eastAsia="zh-CN"/>
        </w:rPr>
        <w:t>近年来获批</w:t>
      </w:r>
      <w:r>
        <w:rPr>
          <w:rFonts w:hint="default" w:ascii="Times New Roman" w:hAnsi="Times New Roman" w:eastAsia="宋体" w:cs="Times New Roman"/>
          <w:i w:val="0"/>
          <w:iCs w:val="0"/>
          <w:caps w:val="0"/>
          <w:color w:val="000000" w:themeColor="text1"/>
          <w:spacing w:val="0"/>
          <w:sz w:val="24"/>
          <w:szCs w:val="24"/>
          <w:shd w:val="clear" w:fill="FFFFFF"/>
          <w:lang w:val="en-US" w:eastAsia="zh-CN"/>
          <w14:textFill>
            <w14:solidFill>
              <w14:schemeClr w14:val="tx1"/>
            </w14:solidFill>
          </w14:textFill>
        </w:rPr>
        <w:t>国家自然科研基金1</w:t>
      </w:r>
      <w:r>
        <w:rPr>
          <w:rFonts w:hint="default" w:ascii="Times New Roman" w:hAnsi="Times New Roman" w:eastAsia="宋体" w:cs="Times New Roman"/>
          <w:b w:val="0"/>
          <w:bCs w:val="0"/>
          <w:color w:val="000000"/>
          <w:kern w:val="0"/>
          <w:sz w:val="24"/>
          <w:szCs w:val="24"/>
          <w:lang w:val="en-US" w:eastAsia="zh-CN" w:bidi="ar"/>
        </w:rPr>
        <w:t>项</w:t>
      </w:r>
      <w:r>
        <w:rPr>
          <w:rFonts w:hint="default" w:ascii="Times New Roman" w:hAnsi="Times New Roman" w:eastAsia="宋体" w:cs="Times New Roman"/>
          <w:i w:val="0"/>
          <w:iCs w:val="0"/>
          <w:caps w:val="0"/>
          <w:color w:val="000000" w:themeColor="text1"/>
          <w:spacing w:val="0"/>
          <w:sz w:val="24"/>
          <w:szCs w:val="24"/>
          <w:shd w:val="clear" w:fill="FFFFFF"/>
          <w:lang w:val="en-US" w:eastAsia="zh-CN"/>
          <w14:textFill>
            <w14:solidFill>
              <w14:schemeClr w14:val="tx1"/>
            </w14:solidFill>
          </w14:textFill>
        </w:rPr>
        <w:t>、</w:t>
      </w:r>
      <w:r>
        <w:rPr>
          <w:rFonts w:hint="default" w:ascii="Times New Roman" w:hAnsi="Times New Roman" w:eastAsia="宋体" w:cs="Times New Roman"/>
          <w:b w:val="0"/>
          <w:bCs w:val="0"/>
          <w:color w:val="000000"/>
          <w:kern w:val="0"/>
          <w:sz w:val="24"/>
          <w:szCs w:val="24"/>
          <w:lang w:val="en-US" w:eastAsia="zh-CN" w:bidi="ar"/>
        </w:rPr>
        <w:t>广东省医学科学技术研究基金项目2项，</w:t>
      </w:r>
      <w:r>
        <w:rPr>
          <w:rFonts w:hint="default" w:ascii="Times New Roman" w:hAnsi="Times New Roman" w:eastAsia="宋体" w:cs="Times New Roman"/>
          <w:color w:val="000000"/>
          <w:kern w:val="0"/>
          <w:sz w:val="24"/>
          <w:szCs w:val="24"/>
          <w:lang w:val="en-US" w:eastAsia="zh-CN" w:bidi="ar"/>
        </w:rPr>
        <w:t>广东省中医药局科研项目</w:t>
      </w:r>
      <w:r>
        <w:rPr>
          <w:rFonts w:hint="default" w:ascii="Times New Roman" w:hAnsi="Times New Roman" w:eastAsia="宋体" w:cs="Times New Roman"/>
          <w:i w:val="0"/>
          <w:iCs w:val="0"/>
          <w:caps w:val="0"/>
          <w:color w:val="000000" w:themeColor="text1"/>
          <w:spacing w:val="0"/>
          <w:sz w:val="24"/>
          <w:szCs w:val="24"/>
          <w:shd w:val="clear" w:fill="FFFFFF"/>
          <w:lang w:val="en-US" w:eastAsia="zh-CN"/>
          <w14:textFill>
            <w14:solidFill>
              <w14:schemeClr w14:val="tx1"/>
            </w14:solidFill>
          </w14:textFill>
        </w:rPr>
        <w:t>1</w:t>
      </w:r>
      <w:r>
        <w:rPr>
          <w:rFonts w:hint="default" w:ascii="Times New Roman" w:hAnsi="Times New Roman" w:eastAsia="宋体" w:cs="Times New Roman"/>
          <w:b w:val="0"/>
          <w:bCs w:val="0"/>
          <w:color w:val="000000"/>
          <w:kern w:val="0"/>
          <w:sz w:val="24"/>
          <w:szCs w:val="24"/>
          <w:lang w:val="en-US" w:eastAsia="zh-CN" w:bidi="ar"/>
        </w:rPr>
        <w:t>项，</w:t>
      </w:r>
      <w:r>
        <w:rPr>
          <w:rFonts w:hint="default" w:ascii="Times New Roman" w:hAnsi="Times New Roman" w:eastAsia="宋体" w:cs="Times New Roman"/>
          <w:color w:val="000000"/>
          <w:kern w:val="0"/>
          <w:sz w:val="24"/>
          <w:szCs w:val="24"/>
          <w:lang w:val="en-US" w:eastAsia="zh-CN" w:bidi="ar"/>
        </w:rPr>
        <w:t>市级科研项目6项，发表学术论文多篇，其中SCI收录论文4篇,国家级核心期刊收录论文12篇,省级核心期刊收录论文8篇，主编出版论著3部。</w:t>
      </w:r>
    </w:p>
    <w:p w14:paraId="20C3C961">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科室地址：</w:t>
      </w:r>
      <w:r>
        <w:rPr>
          <w:rFonts w:hint="default" w:ascii="Times New Roman" w:hAnsi="Times New Roman" w:eastAsia="宋体" w:cs="Times New Roman"/>
          <w:sz w:val="24"/>
          <w:szCs w:val="24"/>
          <w:lang w:val="en-US" w:eastAsia="zh-CN"/>
        </w:rPr>
        <w:t>广东省湛江市赤坎区源珠路236号湛江中心人民医院6号楼7楼内分泌代谢科</w:t>
      </w:r>
    </w:p>
    <w:p w14:paraId="04375B8B">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医疗</w:t>
      </w:r>
      <w:r>
        <w:rPr>
          <w:rFonts w:hint="default" w:ascii="Times New Roman" w:hAnsi="Times New Roman" w:eastAsia="宋体" w:cs="Times New Roman"/>
          <w:sz w:val="24"/>
          <w:szCs w:val="24"/>
        </w:rPr>
        <w:t>专业人员数：</w:t>
      </w:r>
      <w:r>
        <w:rPr>
          <w:rFonts w:hint="default" w:ascii="Times New Roman" w:hAnsi="Times New Roman" w:eastAsia="宋体" w:cs="Times New Roman"/>
          <w:sz w:val="24"/>
          <w:szCs w:val="24"/>
          <w:lang w:val="en-US" w:eastAsia="zh-CN"/>
        </w:rPr>
        <w:t>17</w:t>
      </w:r>
      <w:r>
        <w:rPr>
          <w:rFonts w:hint="default" w:ascii="Times New Roman" w:hAnsi="Times New Roman" w:eastAsia="宋体" w:cs="Times New Roman"/>
          <w:sz w:val="24"/>
          <w:szCs w:val="24"/>
        </w:rPr>
        <w:t>人</w:t>
      </w:r>
    </w:p>
    <w:p w14:paraId="07B78F2D">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rPr>
        <w:t>病床数：</w:t>
      </w:r>
      <w:r>
        <w:rPr>
          <w:rFonts w:hint="default" w:ascii="Times New Roman" w:hAnsi="Times New Roman" w:eastAsia="宋体" w:cs="Times New Roman"/>
          <w:sz w:val="24"/>
          <w:szCs w:val="24"/>
          <w:lang w:val="en-US" w:eastAsia="zh-CN"/>
        </w:rPr>
        <w:t>54</w:t>
      </w:r>
    </w:p>
    <w:p w14:paraId="72980454">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eastAsia="宋体" w:cs="Times New Roman"/>
          <w:color w:val="FF0000"/>
          <w:sz w:val="24"/>
          <w:szCs w:val="24"/>
          <w:lang w:val="en-US" w:eastAsia="zh-CN"/>
        </w:rPr>
      </w:pPr>
      <w:r>
        <w:rPr>
          <w:rFonts w:hint="default" w:ascii="Times New Roman" w:hAnsi="Times New Roman" w:eastAsia="宋体" w:cs="Times New Roman"/>
          <w:sz w:val="24"/>
          <w:szCs w:val="24"/>
        </w:rPr>
        <w:t>年门诊量：</w:t>
      </w:r>
      <w:r>
        <w:rPr>
          <w:rFonts w:hint="default" w:ascii="Times New Roman" w:hAnsi="Times New Roman" w:eastAsia="宋体" w:cs="Times New Roman"/>
          <w:sz w:val="24"/>
          <w:szCs w:val="24"/>
          <w:lang w:val="en-US" w:eastAsia="zh-CN"/>
        </w:rPr>
        <w:t>6万5千余人次</w:t>
      </w:r>
    </w:p>
    <w:p w14:paraId="4AA907D3">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eastAsia="宋体" w:cs="Times New Roman"/>
          <w:color w:val="000000"/>
          <w:kern w:val="0"/>
          <w:sz w:val="24"/>
          <w:szCs w:val="24"/>
          <w:lang w:val="en-US" w:eastAsia="zh-CN" w:bidi="ar"/>
        </w:rPr>
      </w:pPr>
      <w:r>
        <w:rPr>
          <w:rFonts w:hint="default" w:ascii="Times New Roman" w:hAnsi="Times New Roman" w:eastAsia="宋体" w:cs="Times New Roman"/>
          <w:sz w:val="24"/>
          <w:szCs w:val="24"/>
        </w:rPr>
        <w:t>联系电话（座机或手机）：</w:t>
      </w:r>
      <w:r>
        <w:rPr>
          <w:rFonts w:hint="default" w:ascii="Times New Roman" w:hAnsi="Times New Roman" w:eastAsia="宋体" w:cs="Times New Roman"/>
          <w:sz w:val="24"/>
          <w:szCs w:val="24"/>
          <w:lang w:val="en-US" w:eastAsia="zh-CN"/>
        </w:rPr>
        <w:t>0759</w:t>
      </w: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3157461</w:t>
      </w:r>
    </w:p>
    <w:p w14:paraId="62D0F1A0">
      <w:pPr>
        <w:keepNext w:val="0"/>
        <w:keepLines w:val="0"/>
        <w:pageBreakBefore w:val="0"/>
        <w:kinsoku/>
        <w:wordWrap/>
        <w:overflowPunct/>
        <w:topLinePunct w:val="0"/>
        <w:autoSpaceDE/>
        <w:autoSpaceDN/>
        <w:bidi w:val="0"/>
        <w:adjustRightInd/>
        <w:snapToGrid/>
        <w:spacing w:before="180" w:line="360" w:lineRule="auto"/>
        <w:ind w:firstLine="480" w:firstLineChars="2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color w:val="auto"/>
          <w:kern w:val="0"/>
          <w:sz w:val="24"/>
          <w:szCs w:val="24"/>
        </w:rPr>
        <w:t>【技术团队】</w:t>
      </w:r>
    </w:p>
    <w:p w14:paraId="110F7418">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现内分泌代谢科共有医师17人，</w:t>
      </w:r>
      <w:r>
        <w:rPr>
          <w:rFonts w:hint="default" w:ascii="Times New Roman" w:hAnsi="Times New Roman" w:eastAsia="宋体" w:cs="Times New Roman"/>
          <w:sz w:val="24"/>
          <w:szCs w:val="24"/>
        </w:rPr>
        <w:t>博士后</w:t>
      </w:r>
      <w:r>
        <w:rPr>
          <w:rFonts w:hint="default" w:ascii="Times New Roman" w:hAnsi="Times New Roman" w:eastAsia="宋体" w:cs="Times New Roman"/>
          <w:sz w:val="24"/>
          <w:szCs w:val="24"/>
          <w:lang w:val="en-US" w:eastAsia="zh-CN"/>
        </w:rPr>
        <w:t>1</w:t>
      </w:r>
      <w:r>
        <w:rPr>
          <w:rFonts w:hint="default" w:ascii="Times New Roman" w:hAnsi="Times New Roman" w:eastAsia="宋体" w:cs="Times New Roman"/>
          <w:sz w:val="24"/>
          <w:szCs w:val="24"/>
        </w:rPr>
        <w:t>人</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i w:val="0"/>
          <w:iCs w:val="0"/>
          <w:caps w:val="0"/>
          <w:color w:val="333333"/>
          <w:spacing w:val="0"/>
          <w:sz w:val="24"/>
          <w:szCs w:val="24"/>
          <w:shd w:val="clear" w:fill="FFFFFF"/>
          <w:lang w:val="en-US" w:eastAsia="zh-CN"/>
        </w:rPr>
        <w:t>硕士研究生7名，</w:t>
      </w:r>
      <w:r>
        <w:rPr>
          <w:rFonts w:hint="default" w:ascii="Times New Roman" w:hAnsi="Times New Roman" w:eastAsia="宋体" w:cs="Times New Roman"/>
          <w:sz w:val="24"/>
          <w:szCs w:val="24"/>
          <w:lang w:val="en-US" w:eastAsia="zh-CN"/>
        </w:rPr>
        <w:t>其中高级职称10人（</w:t>
      </w:r>
      <w:r>
        <w:rPr>
          <w:rFonts w:hint="default" w:ascii="Times New Roman" w:hAnsi="Times New Roman" w:eastAsia="宋体" w:cs="Times New Roman"/>
          <w:sz w:val="24"/>
          <w:szCs w:val="24"/>
        </w:rPr>
        <w:t>正高5人、副高</w:t>
      </w:r>
      <w:r>
        <w:rPr>
          <w:rFonts w:hint="default"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rPr>
        <w:t>人</w:t>
      </w:r>
      <w:r>
        <w:rPr>
          <w:rFonts w:hint="default" w:ascii="Times New Roman" w:hAnsi="Times New Roman" w:eastAsia="宋体" w:cs="Times New Roman"/>
          <w:sz w:val="24"/>
          <w:szCs w:val="24"/>
          <w:lang w:val="en-US" w:eastAsia="zh-CN"/>
        </w:rPr>
        <w:t>）</w:t>
      </w:r>
      <w:r>
        <w:rPr>
          <w:rFonts w:hint="eastAsia" w:ascii="Times New Roman" w:hAnsi="Times New Roman" w:eastAsia="宋体" w:cs="Times New Roman"/>
          <w:sz w:val="24"/>
          <w:szCs w:val="24"/>
          <w:lang w:val="en-US" w:eastAsia="zh-CN"/>
        </w:rPr>
        <w:t>。</w:t>
      </w:r>
    </w:p>
    <w:p w14:paraId="37B1F1BE">
      <w:pPr>
        <w:keepNext w:val="0"/>
        <w:keepLines w:val="0"/>
        <w:pageBreakBefore w:val="0"/>
        <w:kinsoku/>
        <w:wordWrap/>
        <w:overflowPunct/>
        <w:topLinePunct w:val="0"/>
        <w:autoSpaceDE/>
        <w:autoSpaceDN/>
        <w:bidi w:val="0"/>
        <w:adjustRightInd/>
        <w:snapToGrid/>
        <w:spacing w:before="180" w:line="360" w:lineRule="auto"/>
        <w:ind w:firstLine="480" w:firstLineChars="200"/>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eastAsia" w:ascii="Times New Roman" w:hAnsi="Times New Roman" w:eastAsia="宋体" w:cs="Times New Roman"/>
          <w:color w:val="auto"/>
          <w:kern w:val="0"/>
          <w:sz w:val="24"/>
          <w:szCs w:val="24"/>
          <w:lang w:val="en-US" w:eastAsia="zh-CN"/>
        </w:rPr>
        <w:t>常见病种</w:t>
      </w:r>
      <w:r>
        <w:rPr>
          <w:rFonts w:hint="default" w:ascii="Times New Roman" w:hAnsi="Times New Roman" w:eastAsia="宋体" w:cs="Times New Roman"/>
          <w:color w:val="auto"/>
          <w:kern w:val="0"/>
          <w:sz w:val="24"/>
          <w:szCs w:val="24"/>
        </w:rPr>
        <w:t>】</w:t>
      </w:r>
    </w:p>
    <w:p w14:paraId="6166A97F">
      <w:pPr>
        <w:keepNext w:val="0"/>
        <w:keepLines w:val="0"/>
        <w:pageBreakBefore w:val="0"/>
        <w:kinsoku/>
        <w:wordWrap/>
        <w:overflowPunct/>
        <w:topLinePunct w:val="0"/>
        <w:autoSpaceDE/>
        <w:autoSpaceDN/>
        <w:bidi w:val="0"/>
        <w:adjustRightInd/>
        <w:snapToGrid/>
        <w:spacing w:before="180"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2型糖尿病：年门诊量4万余人次；</w:t>
      </w:r>
    </w:p>
    <w:p w14:paraId="3535B03C">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480" w:firstLineChars="200"/>
        <w:jc w:val="both"/>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1型糖尿病：年门诊量5千余人次；</w:t>
      </w:r>
    </w:p>
    <w:p w14:paraId="69C84210">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480" w:firstLineChars="200"/>
        <w:jc w:val="both"/>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甲状腺疾病：年门诊量2万余人次；</w:t>
      </w:r>
    </w:p>
    <w:p w14:paraId="263F2AE0">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480" w:firstLineChars="200"/>
        <w:jc w:val="both"/>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肥胖症：年门诊量2.5万余人次；</w:t>
      </w:r>
    </w:p>
    <w:p w14:paraId="6D0F4447">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480" w:firstLineChars="200"/>
        <w:jc w:val="both"/>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高脂血症：年门诊量3万余人次；</w:t>
      </w:r>
    </w:p>
    <w:p w14:paraId="6FB764BB">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480" w:firstLineChars="200"/>
        <w:jc w:val="both"/>
        <w:textAlignment w:val="auto"/>
        <w:rPr>
          <w:rFonts w:hint="default" w:ascii="Times New Roman" w:hAnsi="Times New Roman" w:eastAsia="宋体" w:cs="Times New Roman"/>
          <w:spacing w:val="-1"/>
          <w:kern w:val="2"/>
          <w:sz w:val="24"/>
          <w:szCs w:val="24"/>
          <w:lang w:eastAsia="zh-CN"/>
        </w:rPr>
      </w:pPr>
      <w:r>
        <w:rPr>
          <w:rFonts w:hint="eastAsia" w:asciiTheme="minorEastAsia" w:hAnsiTheme="minorEastAsia" w:cstheme="minorEastAsia"/>
          <w:sz w:val="24"/>
          <w:szCs w:val="24"/>
          <w:lang w:val="en-US" w:eastAsia="zh-CN"/>
        </w:rPr>
        <w:t>继发性高血压：年门诊量2千余人次。</w:t>
      </w:r>
    </w:p>
    <w:p w14:paraId="37085174">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76" w:firstLineChars="20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pacing w:val="-1"/>
          <w:kern w:val="2"/>
          <w:sz w:val="24"/>
          <w:szCs w:val="24"/>
          <w:lang w:eastAsia="zh-CN"/>
        </w:rPr>
        <w:t>【</w:t>
      </w:r>
      <w:r>
        <w:rPr>
          <w:rFonts w:hint="default" w:ascii="Times New Roman" w:hAnsi="Times New Roman" w:eastAsia="宋体" w:cs="Times New Roman"/>
          <w:spacing w:val="-1"/>
          <w:kern w:val="2"/>
          <w:sz w:val="24"/>
          <w:szCs w:val="24"/>
          <w:lang w:val="en-US" w:eastAsia="zh-CN"/>
        </w:rPr>
        <w:t>主要研究者信息</w:t>
      </w:r>
      <w:r>
        <w:rPr>
          <w:rFonts w:hint="default" w:ascii="Times New Roman" w:hAnsi="Times New Roman" w:eastAsia="宋体" w:cs="Times New Roman"/>
          <w:spacing w:val="-1"/>
          <w:kern w:val="2"/>
          <w:sz w:val="24"/>
          <w:szCs w:val="24"/>
          <w:lang w:eastAsia="zh-CN"/>
        </w:rPr>
        <w:t>】</w:t>
      </w:r>
      <w:r>
        <w:rPr>
          <w:rFonts w:hint="default" w:ascii="Times New Roman" w:hAnsi="Times New Roman" w:cs="Times New Roman" w:eastAsiaTheme="minorEastAsia"/>
          <w:b w:val="0"/>
          <w:bCs w:val="0"/>
          <w:sz w:val="24"/>
          <w:szCs w:val="24"/>
        </w:rPr>
        <w:t xml:space="preserve"> </w:t>
      </w:r>
    </w:p>
    <w:p w14:paraId="0E2B9A88">
      <w:pPr>
        <w:pStyle w:val="3"/>
        <w:keepNext w:val="0"/>
        <w:keepLines w:val="0"/>
        <w:widowControl/>
        <w:suppressLineNumbers w:val="0"/>
        <w:spacing w:line="360" w:lineRule="auto"/>
        <w:jc w:val="center"/>
        <w:rPr>
          <w:rFonts w:hint="default" w:ascii="Times New Roman" w:hAnsi="Times New Roman" w:eastAsia="宋体" w:cs="Times New Roman"/>
          <w:sz w:val="24"/>
          <w:szCs w:val="24"/>
          <w:lang w:val="en-US" w:eastAsia="zh-CN"/>
        </w:rPr>
      </w:pPr>
      <w:r>
        <w:drawing>
          <wp:inline distT="0" distB="0" distL="114300" distR="114300">
            <wp:extent cx="1547495" cy="2085340"/>
            <wp:effectExtent l="0" t="0" r="14605" b="10160"/>
            <wp:docPr id="11"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pic:cNvPicPr>
                      <a:picLocks noChangeAspect="1"/>
                    </pic:cNvPicPr>
                  </pic:nvPicPr>
                  <pic:blipFill>
                    <a:blip r:embed="rId4">
                      <a:extLst>
                        <a:ext uri="{28A0092B-C50C-407E-A947-70E740481C1C}">
                          <a14:useLocalDpi xmlns:a14="http://schemas.microsoft.com/office/drawing/2010/main" val="0"/>
                        </a:ext>
                      </a:extLst>
                    </a:blip>
                    <a:stretch>
                      <a:fillRect/>
                    </a:stretch>
                  </pic:blipFill>
                  <pic:spPr>
                    <a:xfrm>
                      <a:off x="0" y="0"/>
                      <a:ext cx="1547495" cy="2085340"/>
                    </a:xfrm>
                    <a:prstGeom prst="rect">
                      <a:avLst/>
                    </a:prstGeom>
                  </pic:spPr>
                </pic:pic>
              </a:graphicData>
            </a:graphic>
          </wp:inline>
        </w:drawing>
      </w:r>
    </w:p>
    <w:p w14:paraId="30544C62">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jc w:val="center"/>
        <w:textAlignment w:val="auto"/>
        <w:rPr>
          <w:rFonts w:hint="eastAsia" w:ascii="宋体" w:hAnsi="宋体" w:eastAsia="宋体" w:cs="宋体"/>
          <w:b w:val="0"/>
          <w:bCs/>
        </w:rPr>
      </w:pPr>
      <w:r>
        <w:rPr>
          <w:rStyle w:val="7"/>
          <w:rFonts w:hint="eastAsia" w:ascii="宋体" w:hAnsi="宋体" w:eastAsia="宋体" w:cs="宋体"/>
          <w:b w:val="0"/>
          <w:bCs/>
          <w:sz w:val="24"/>
          <w:szCs w:val="24"/>
        </w:rPr>
        <w:t>姓名：</w:t>
      </w:r>
      <w:r>
        <w:rPr>
          <w:rStyle w:val="7"/>
          <w:rFonts w:hint="eastAsia" w:ascii="宋体" w:hAnsi="宋体" w:eastAsia="宋体" w:cs="宋体"/>
          <w:b w:val="0"/>
          <w:bCs/>
          <w:sz w:val="24"/>
          <w:szCs w:val="24"/>
          <w:lang w:val="en-US" w:eastAsia="zh-CN"/>
        </w:rPr>
        <w:t xml:space="preserve">黄云飞    </w:t>
      </w:r>
      <w:r>
        <w:rPr>
          <w:rStyle w:val="7"/>
          <w:rFonts w:hint="eastAsia" w:ascii="宋体" w:hAnsi="宋体" w:eastAsia="宋体" w:cs="宋体"/>
          <w:b w:val="0"/>
          <w:bCs/>
          <w:sz w:val="24"/>
          <w:szCs w:val="24"/>
        </w:rPr>
        <w:t>职务：科室</w:t>
      </w:r>
      <w:r>
        <w:rPr>
          <w:rStyle w:val="7"/>
          <w:rFonts w:hint="eastAsia" w:ascii="宋体" w:hAnsi="宋体" w:eastAsia="宋体" w:cs="宋体"/>
          <w:b w:val="0"/>
          <w:bCs/>
          <w:sz w:val="24"/>
          <w:szCs w:val="24"/>
          <w:lang w:val="en-US" w:eastAsia="zh-CN"/>
        </w:rPr>
        <w:t>副</w:t>
      </w:r>
      <w:r>
        <w:rPr>
          <w:rStyle w:val="7"/>
          <w:rFonts w:hint="eastAsia" w:ascii="宋体" w:hAnsi="宋体" w:eastAsia="宋体" w:cs="宋体"/>
          <w:b w:val="0"/>
          <w:bCs/>
          <w:sz w:val="24"/>
          <w:szCs w:val="24"/>
        </w:rPr>
        <w:t>主任</w:t>
      </w:r>
      <w:r>
        <w:rPr>
          <w:rStyle w:val="7"/>
          <w:rFonts w:hint="eastAsia" w:ascii="宋体" w:hAnsi="宋体" w:eastAsia="宋体" w:cs="宋体"/>
          <w:b w:val="0"/>
          <w:bCs/>
          <w:sz w:val="24"/>
          <w:szCs w:val="24"/>
          <w:lang w:val="en-US" w:eastAsia="zh-CN"/>
        </w:rPr>
        <w:t xml:space="preserve">   </w:t>
      </w:r>
      <w:r>
        <w:rPr>
          <w:rStyle w:val="7"/>
          <w:rFonts w:hint="eastAsia" w:ascii="宋体" w:hAnsi="宋体" w:eastAsia="宋体" w:cs="宋体"/>
          <w:b w:val="0"/>
          <w:bCs/>
          <w:sz w:val="24"/>
          <w:szCs w:val="24"/>
        </w:rPr>
        <w:t>职称：主任医师</w:t>
      </w:r>
    </w:p>
    <w:p w14:paraId="2214F541">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480" w:firstLineChars="200"/>
        <w:jc w:val="center"/>
        <w:textAlignment w:val="auto"/>
        <w:rPr>
          <w:rFonts w:hint="eastAsia" w:ascii="宋体" w:hAnsi="宋体" w:eastAsia="宋体" w:cs="宋体"/>
          <w:b w:val="0"/>
          <w:bCs/>
          <w:sz w:val="24"/>
          <w:szCs w:val="24"/>
        </w:rPr>
      </w:pPr>
      <w:r>
        <w:rPr>
          <w:rStyle w:val="7"/>
          <w:rFonts w:hint="eastAsia" w:ascii="宋体" w:hAnsi="宋体" w:eastAsia="宋体" w:cs="宋体"/>
          <w:b w:val="0"/>
          <w:bCs/>
          <w:sz w:val="24"/>
          <w:szCs w:val="24"/>
        </w:rPr>
        <w:t>联系电话（座机或手机）：</w:t>
      </w:r>
      <w:r>
        <w:rPr>
          <w:rStyle w:val="7"/>
          <w:rFonts w:hint="eastAsia" w:ascii="宋体" w:hAnsi="宋体" w:eastAsia="宋体" w:cs="宋体"/>
          <w:b w:val="0"/>
          <w:bCs/>
          <w:sz w:val="24"/>
          <w:szCs w:val="24"/>
          <w:lang w:val="en-US" w:eastAsia="zh-CN"/>
        </w:rPr>
        <w:t>0759</w:t>
      </w:r>
      <w:r>
        <w:rPr>
          <w:rStyle w:val="7"/>
          <w:rFonts w:hint="eastAsia" w:ascii="宋体" w:hAnsi="宋体" w:eastAsia="宋体" w:cs="宋体"/>
          <w:b w:val="0"/>
          <w:bCs/>
          <w:sz w:val="24"/>
          <w:szCs w:val="24"/>
        </w:rPr>
        <w:t>-</w:t>
      </w:r>
      <w:r>
        <w:rPr>
          <w:rStyle w:val="7"/>
          <w:rFonts w:hint="eastAsia" w:ascii="宋体" w:hAnsi="宋体" w:eastAsia="宋体" w:cs="宋体"/>
          <w:b w:val="0"/>
          <w:bCs/>
          <w:sz w:val="24"/>
          <w:szCs w:val="24"/>
          <w:lang w:val="en-US" w:eastAsia="zh-CN"/>
        </w:rPr>
        <w:t>3157461</w:t>
      </w:r>
      <w:r>
        <w:rPr>
          <w:rStyle w:val="7"/>
          <w:rFonts w:hint="eastAsia" w:ascii="宋体" w:hAnsi="宋体" w:eastAsia="宋体" w:cs="宋体"/>
          <w:b w:val="0"/>
          <w:bCs/>
          <w:sz w:val="24"/>
          <w:szCs w:val="24"/>
        </w:rPr>
        <w:t> </w:t>
      </w:r>
    </w:p>
    <w:p w14:paraId="32CD6597">
      <w:pPr>
        <w:keepNext w:val="0"/>
        <w:keepLines w:val="0"/>
        <w:pageBreakBefore w:val="0"/>
        <w:widowControl/>
        <w:numPr>
          <w:ilvl w:val="0"/>
          <w:numId w:val="0"/>
        </w:numPr>
        <w:suppressLineNumbers w:val="0"/>
        <w:kinsoku/>
        <w:wordWrap/>
        <w:overflowPunct/>
        <w:topLinePunct w:val="0"/>
        <w:autoSpaceDE/>
        <w:autoSpaceDN/>
        <w:bidi w:val="0"/>
        <w:adjustRightInd/>
        <w:snapToGrid/>
        <w:spacing w:before="180" w:line="360" w:lineRule="auto"/>
        <w:ind w:leftChars="0"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rPr>
        <w:t>个人简介：</w:t>
      </w:r>
      <w:r>
        <w:rPr>
          <w:rFonts w:hint="default" w:ascii="Times New Roman" w:hAnsi="Times New Roman" w:eastAsia="宋体" w:cs="Times New Roman"/>
          <w:sz w:val="24"/>
          <w:szCs w:val="24"/>
          <w:lang w:val="en-US" w:eastAsia="zh-CN"/>
        </w:rPr>
        <w:t>内分泌代谢科副</w:t>
      </w:r>
      <w:r>
        <w:rPr>
          <w:rFonts w:hint="default" w:ascii="Times New Roman" w:hAnsi="Times New Roman" w:eastAsia="宋体" w:cs="Times New Roman"/>
          <w:sz w:val="24"/>
          <w:szCs w:val="24"/>
        </w:rPr>
        <w:t>主任、主任医师、</w:t>
      </w:r>
      <w:r>
        <w:rPr>
          <w:rFonts w:hint="default" w:ascii="Times New Roman" w:hAnsi="Times New Roman" w:eastAsia="宋体" w:cs="Times New Roman"/>
          <w:sz w:val="24"/>
          <w:szCs w:val="24"/>
          <w:lang w:val="en-US" w:eastAsia="zh-CN"/>
        </w:rPr>
        <w:t>正教授</w:t>
      </w:r>
      <w:r>
        <w:rPr>
          <w:rFonts w:hint="default" w:ascii="Times New Roman" w:hAnsi="Times New Roman" w:eastAsia="宋体" w:cs="Times New Roman"/>
          <w:sz w:val="24"/>
          <w:szCs w:val="24"/>
        </w:rPr>
        <w:t>。2004年</w:t>
      </w:r>
      <w:r>
        <w:rPr>
          <w:rFonts w:hint="default" w:ascii="Times New Roman" w:hAnsi="Times New Roman" w:eastAsia="宋体" w:cs="Times New Roman"/>
          <w:sz w:val="24"/>
          <w:szCs w:val="24"/>
          <w:lang w:val="en-US" w:eastAsia="zh-CN"/>
        </w:rPr>
        <w:t>毕业于</w:t>
      </w:r>
      <w:r>
        <w:rPr>
          <w:rFonts w:hint="default" w:ascii="Times New Roman" w:hAnsi="Times New Roman" w:eastAsia="宋体" w:cs="Times New Roman"/>
          <w:sz w:val="24"/>
          <w:szCs w:val="24"/>
        </w:rPr>
        <w:t>汕头大学医学院临床医学系</w:t>
      </w:r>
      <w:r>
        <w:rPr>
          <w:rFonts w:hint="default" w:ascii="Times New Roman" w:hAnsi="Times New Roman" w:eastAsia="宋体" w:cs="Times New Roman"/>
          <w:sz w:val="24"/>
          <w:szCs w:val="24"/>
          <w:lang w:val="en-US" w:eastAsia="zh-CN"/>
        </w:rPr>
        <w:t>本科，毕业后一直在湛江中心人民医院工作至今，期间在中山大学孙逸仙医院进修内分泌代谢专业，并参加第37批次中国援赤道几内亚医疗队总统保健组。擅长内分泌代谢性疾病的诊断和治疗，在糖尿病、甲状腺疾病、垂体－肾上腺疾病、继发性高血压、生长发育异常及各种代谢病如水电解质代谢、肥胖症、骨质疏松症、痛风等的诊断和治疗方面有丰富的经验。在临床教学及科研上也有所收获，多次获得教学优秀教师，并主持湛江市科技计划项目一项，以第一作者在国家级以上期刊发表医学论文多篇。曾多次参与糖尿病、甲状腺疾病、骨质疏松等疾病教育宣传活动及义诊。现为湛江市保健专家组成员。</w:t>
      </w:r>
    </w:p>
    <w:p w14:paraId="3ADBDD5A">
      <w:pPr>
        <w:keepNext w:val="0"/>
        <w:keepLines w:val="0"/>
        <w:pageBreakBefore w:val="0"/>
        <w:widowControl/>
        <w:numPr>
          <w:ilvl w:val="0"/>
          <w:numId w:val="0"/>
        </w:numPr>
        <w:suppressLineNumbers w:val="0"/>
        <w:kinsoku/>
        <w:wordWrap/>
        <w:overflowPunct/>
        <w:topLinePunct w:val="0"/>
        <w:autoSpaceDE/>
        <w:autoSpaceDN/>
        <w:bidi w:val="0"/>
        <w:adjustRightInd/>
        <w:snapToGrid/>
        <w:spacing w:before="180" w:line="360" w:lineRule="auto"/>
        <w:ind w:leftChars="0" w:firstLine="480" w:firstLineChars="200"/>
        <w:jc w:val="left"/>
        <w:textAlignment w:val="auto"/>
        <w:rPr>
          <w:rFonts w:hint="default" w:ascii="Times New Roman" w:hAnsi="Times New Roman" w:eastAsia="宋体" w:cs="Times New Roman"/>
          <w:color w:val="000000" w:themeColor="text1"/>
          <w:sz w:val="24"/>
          <w:szCs w:val="24"/>
          <w:lang w:eastAsia="zh-CN"/>
          <w14:textFill>
            <w14:solidFill>
              <w14:schemeClr w14:val="tx1"/>
            </w14:solidFill>
          </w14:textFill>
        </w:rPr>
      </w:pPr>
      <w:r>
        <w:rPr>
          <w:rFonts w:hint="default" w:ascii="Times New Roman" w:hAnsi="Times New Roman" w:eastAsia="宋体" w:cs="Times New Roman"/>
          <w:color w:val="000000" w:themeColor="text1"/>
          <w:sz w:val="24"/>
          <w:szCs w:val="24"/>
          <w:lang w:val="en-US" w:eastAsia="zh-CN"/>
          <w14:textFill>
            <w14:solidFill>
              <w14:schemeClr w14:val="tx1"/>
            </w14:solidFill>
          </w14:textFill>
        </w:rPr>
        <w:t>学术和</w:t>
      </w:r>
      <w:r>
        <w:rPr>
          <w:rFonts w:hint="default" w:ascii="Times New Roman" w:hAnsi="Times New Roman" w:eastAsia="宋体" w:cs="Times New Roman"/>
          <w:color w:val="000000" w:themeColor="text1"/>
          <w:sz w:val="24"/>
          <w:szCs w:val="24"/>
          <w14:textFill>
            <w14:solidFill>
              <w14:schemeClr w14:val="tx1"/>
            </w14:solidFill>
          </w14:textFill>
        </w:rPr>
        <w:t>社会任职</w:t>
      </w:r>
      <w:r>
        <w:rPr>
          <w:rFonts w:hint="default" w:ascii="Times New Roman" w:hAnsi="Times New Roman" w:eastAsia="宋体" w:cs="Times New Roman"/>
          <w:color w:val="000000" w:themeColor="text1"/>
          <w:sz w:val="24"/>
          <w:szCs w:val="24"/>
          <w:lang w:val="en-US" w:eastAsia="zh-CN"/>
          <w14:textFill>
            <w14:solidFill>
              <w14:schemeClr w14:val="tx1"/>
            </w14:solidFill>
          </w14:textFill>
        </w:rPr>
        <w:t>包括</w:t>
      </w:r>
      <w:r>
        <w:rPr>
          <w:rFonts w:hint="default" w:ascii="Times New Roman" w:hAnsi="Times New Roman" w:eastAsia="宋体" w:cs="Times New Roman"/>
          <w:color w:val="000000" w:themeColor="text1"/>
          <w:sz w:val="24"/>
          <w:szCs w:val="24"/>
          <w14:textFill>
            <w14:solidFill>
              <w14:schemeClr w14:val="tx1"/>
            </w14:solidFill>
          </w14:textFill>
        </w:rPr>
        <w:t>：湛江市医学会</w:t>
      </w:r>
      <w:r>
        <w:rPr>
          <w:rFonts w:hint="default" w:ascii="Times New Roman" w:hAnsi="Times New Roman" w:eastAsia="宋体" w:cs="Times New Roman"/>
          <w:color w:val="000000" w:themeColor="text1"/>
          <w:sz w:val="24"/>
          <w:szCs w:val="24"/>
          <w:lang w:val="en-US" w:eastAsia="zh-CN"/>
          <w14:textFill>
            <w14:solidFill>
              <w14:schemeClr w14:val="tx1"/>
            </w14:solidFill>
          </w14:textFill>
        </w:rPr>
        <w:t>糖尿病</w:t>
      </w:r>
      <w:r>
        <w:rPr>
          <w:rFonts w:hint="default" w:ascii="Times New Roman" w:hAnsi="Times New Roman" w:eastAsia="宋体" w:cs="Times New Roman"/>
          <w:color w:val="000000" w:themeColor="text1"/>
          <w:sz w:val="24"/>
          <w:szCs w:val="24"/>
          <w14:textFill>
            <w14:solidFill>
              <w14:schemeClr w14:val="tx1"/>
            </w14:solidFill>
          </w14:textFill>
        </w:rPr>
        <w:t>学分会</w:t>
      </w:r>
      <w:r>
        <w:rPr>
          <w:rFonts w:hint="default" w:ascii="Times New Roman" w:hAnsi="Times New Roman" w:eastAsia="宋体" w:cs="Times New Roman"/>
          <w:color w:val="000000" w:themeColor="text1"/>
          <w:sz w:val="24"/>
          <w:szCs w:val="24"/>
          <w:lang w:val="en-US" w:eastAsia="zh-CN"/>
          <w14:textFill>
            <w14:solidFill>
              <w14:schemeClr w14:val="tx1"/>
            </w14:solidFill>
          </w14:textFill>
        </w:rPr>
        <w:t>副主任委员</w:t>
      </w:r>
      <w:r>
        <w:rPr>
          <w:rFonts w:hint="default" w:ascii="Times New Roman" w:hAnsi="Times New Roman" w:eastAsia="宋体" w:cs="Times New Roman"/>
          <w:color w:val="000000" w:themeColor="text1"/>
          <w:sz w:val="24"/>
          <w:szCs w:val="24"/>
          <w:lang w:eastAsia="zh-CN"/>
          <w14:textFill>
            <w14:solidFill>
              <w14:schemeClr w14:val="tx1"/>
            </w14:solidFill>
          </w14:textFill>
        </w:rPr>
        <w:t>，</w:t>
      </w:r>
      <w:r>
        <w:rPr>
          <w:rFonts w:hint="default" w:ascii="Times New Roman" w:hAnsi="Times New Roman" w:eastAsia="宋体" w:cs="Times New Roman"/>
          <w:color w:val="000000" w:themeColor="text1"/>
          <w:sz w:val="24"/>
          <w:szCs w:val="24"/>
          <w14:textFill>
            <w14:solidFill>
              <w14:schemeClr w14:val="tx1"/>
            </w14:solidFill>
          </w14:textFill>
        </w:rPr>
        <w:t>湛江市医学会内分泌学分会第四届专业委员会常务委员； 广东省临床医学学会糖尿病教育与支持专业委员会第二届委员；湛江医学会甲状腺疾病分会第一届专业委员会委员；湛江医学会骨质疏松疾病分会专业委员会委员</w:t>
      </w:r>
      <w:r>
        <w:rPr>
          <w:rFonts w:hint="default" w:ascii="Times New Roman" w:hAnsi="Times New Roman" w:eastAsia="宋体" w:cs="Times New Roman"/>
          <w:color w:val="000000" w:themeColor="text1"/>
          <w:sz w:val="24"/>
          <w:szCs w:val="24"/>
          <w:lang w:eastAsia="zh-CN"/>
          <w14:textFill>
            <w14:solidFill>
              <w14:schemeClr w14:val="tx1"/>
            </w14:solidFill>
          </w14:textFill>
        </w:rPr>
        <w:t>，</w:t>
      </w:r>
      <w:r>
        <w:rPr>
          <w:rFonts w:hint="default" w:ascii="Times New Roman" w:hAnsi="Times New Roman" w:eastAsia="宋体" w:cs="Times New Roman"/>
          <w:color w:val="000000" w:themeColor="text1"/>
          <w:sz w:val="24"/>
          <w:szCs w:val="24"/>
          <w14:textFill>
            <w14:solidFill>
              <w14:schemeClr w14:val="tx1"/>
            </w14:solidFill>
          </w14:textFill>
        </w:rPr>
        <w:t xml:space="preserve"> 湛江市保健专家组成员。 </w:t>
      </w:r>
    </w:p>
    <w:p w14:paraId="12E266D9">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主要研究方向（意向承接试验专业方向或病种）：</w:t>
      </w:r>
      <w:r>
        <w:rPr>
          <w:rFonts w:hint="default" w:ascii="Times New Roman" w:hAnsi="Times New Roman" w:eastAsia="宋体" w:cs="Times New Roman"/>
          <w:sz w:val="24"/>
          <w:szCs w:val="24"/>
          <w:lang w:val="en-US" w:eastAsia="zh-CN"/>
        </w:rPr>
        <w:t>糖尿病、肥胖</w:t>
      </w:r>
    </w:p>
    <w:tbl>
      <w:tblPr>
        <w:tblStyle w:val="5"/>
        <w:tblpPr w:leftFromText="180" w:rightFromText="180" w:vertAnchor="text" w:tblpX="10168" w:tblpY="-16"/>
        <w:tblOverlap w:val="never"/>
        <w:tblW w:w="0" w:type="auto"/>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108" w:type="dxa"/>
          <w:bottom w:w="0" w:type="dxa"/>
          <w:right w:w="108" w:type="dxa"/>
        </w:tblCellMar>
      </w:tblPr>
      <w:tblGrid>
        <w:gridCol w:w="324"/>
      </w:tblGrid>
      <w:tr w14:paraId="7D3E01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30" w:hRule="atLeast"/>
        </w:trPr>
        <w:tc>
          <w:tcPr>
            <w:tcW w:w="324" w:type="dxa"/>
          </w:tcPr>
          <w:p w14:paraId="13089AB1">
            <w:pPr>
              <w:keepNext w:val="0"/>
              <w:keepLines w:val="0"/>
              <w:pageBreakBefore w:val="0"/>
              <w:widowControl/>
              <w:kinsoku/>
              <w:wordWrap/>
              <w:overflowPunct/>
              <w:topLinePunct w:val="0"/>
              <w:autoSpaceDE/>
              <w:autoSpaceDN/>
              <w:bidi w:val="0"/>
              <w:adjustRightInd/>
              <w:snapToGrid/>
              <w:spacing w:before="180" w:beforeAutospacing="0" w:afterAutospacing="0" w:line="360" w:lineRule="auto"/>
              <w:ind w:firstLine="480" w:firstLineChars="200"/>
              <w:jc w:val="left"/>
              <w:textAlignment w:val="auto"/>
              <w:rPr>
                <w:rFonts w:hint="default" w:ascii="Times New Roman" w:hAnsi="Times New Roman" w:eastAsia="宋体" w:cs="Times New Roman"/>
                <w:sz w:val="24"/>
                <w:szCs w:val="24"/>
                <w:vertAlign w:val="baseline"/>
                <w:lang w:val="en-US" w:eastAsia="zh-CN"/>
              </w:rPr>
            </w:pPr>
          </w:p>
        </w:tc>
      </w:tr>
    </w:tbl>
    <w:p w14:paraId="33C24C21">
      <w:pPr>
        <w:keepNext w:val="0"/>
        <w:keepLines w:val="0"/>
        <w:pageBreakBefore w:val="0"/>
        <w:widowControl/>
        <w:kinsoku/>
        <w:wordWrap/>
        <w:overflowPunct/>
        <w:topLinePunct w:val="0"/>
        <w:autoSpaceDE/>
        <w:autoSpaceDN/>
        <w:bidi w:val="0"/>
        <w:adjustRightInd/>
        <w:snapToGrid/>
        <w:spacing w:before="180" w:beforeAutospacing="0" w:after="180" w:afterAutospacing="0" w:line="360" w:lineRule="auto"/>
        <w:ind w:firstLine="480"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【参与研究】</w:t>
      </w:r>
    </w:p>
    <w:tbl>
      <w:tblPr>
        <w:tblStyle w:val="4"/>
        <w:tblW w:w="8184"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163"/>
        <w:gridCol w:w="7021"/>
      </w:tblGrid>
      <w:tr w14:paraId="66478E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tblCellSpacing w:w="0" w:type="dxa"/>
          <w:jc w:val="center"/>
        </w:trPr>
        <w:tc>
          <w:tcPr>
            <w:tcW w:w="1133" w:type="dxa"/>
            <w:tcBorders>
              <w:top w:val="single" w:color="auto" w:sz="6" w:space="0"/>
              <w:left w:val="single" w:color="auto" w:sz="6" w:space="0"/>
              <w:bottom w:val="single" w:color="auto" w:sz="6" w:space="0"/>
              <w:right w:val="single" w:color="auto" w:sz="6" w:space="0"/>
            </w:tcBorders>
            <w:shd w:val="clear" w:color="auto" w:fill="auto"/>
            <w:noWrap/>
            <w:tcMar>
              <w:left w:w="105" w:type="dxa"/>
              <w:right w:w="105" w:type="dxa"/>
            </w:tcMar>
            <w:vAlign w:val="center"/>
          </w:tcPr>
          <w:p w14:paraId="0EF9C600">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b/>
                <w:bCs/>
                <w:sz w:val="24"/>
                <w:szCs w:val="24"/>
              </w:rPr>
            </w:pPr>
            <w:r>
              <w:rPr>
                <w:rFonts w:hint="default" w:ascii="Times New Roman" w:hAnsi="Times New Roman" w:eastAsia="宋体" w:cs="Times New Roman"/>
                <w:b/>
                <w:bCs/>
                <w:color w:val="000000"/>
                <w:sz w:val="24"/>
                <w:szCs w:val="24"/>
              </w:rPr>
              <w:t>No.</w:t>
            </w:r>
          </w:p>
        </w:tc>
        <w:tc>
          <w:tcPr>
            <w:tcW w:w="7051"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1779C564">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b/>
                <w:bCs/>
                <w:sz w:val="24"/>
                <w:szCs w:val="24"/>
              </w:rPr>
            </w:pPr>
            <w:r>
              <w:rPr>
                <w:rFonts w:hint="default" w:ascii="Times New Roman" w:hAnsi="Times New Roman" w:eastAsia="宋体" w:cs="Times New Roman"/>
                <w:b/>
                <w:bCs/>
                <w:color w:val="000000"/>
                <w:sz w:val="24"/>
                <w:szCs w:val="24"/>
              </w:rPr>
              <w:t>项目名称</w:t>
            </w:r>
          </w:p>
        </w:tc>
      </w:tr>
      <w:tr w14:paraId="5AD2DA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tblCellSpacing w:w="0" w:type="dxa"/>
          <w:jc w:val="center"/>
        </w:trPr>
        <w:tc>
          <w:tcPr>
            <w:tcW w:w="1133"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6C5846A6">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rPr>
              <w:t>1</w:t>
            </w:r>
          </w:p>
        </w:tc>
        <w:tc>
          <w:tcPr>
            <w:tcW w:w="7051" w:type="dxa"/>
            <w:tcBorders>
              <w:top w:val="nil"/>
              <w:left w:val="nil"/>
              <w:bottom w:val="single" w:color="auto" w:sz="6" w:space="0"/>
              <w:right w:val="single" w:color="auto" w:sz="6" w:space="0"/>
            </w:tcBorders>
            <w:shd w:val="clear" w:color="auto" w:fill="auto"/>
            <w:tcMar>
              <w:left w:w="105" w:type="dxa"/>
              <w:right w:w="105" w:type="dxa"/>
            </w:tcMar>
            <w:vAlign w:val="center"/>
          </w:tcPr>
          <w:p w14:paraId="358076AE">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评估达格列净在中国2型糖尿病患者中安全性的多中心、单臂、观察性研究</w:t>
            </w:r>
          </w:p>
        </w:tc>
      </w:tr>
      <w:tr w14:paraId="7BE36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tblCellSpacing w:w="0" w:type="dxa"/>
          <w:jc w:val="center"/>
        </w:trPr>
        <w:tc>
          <w:tcPr>
            <w:tcW w:w="1133"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727996A7">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rPr>
              <w:t>2</w:t>
            </w:r>
          </w:p>
        </w:tc>
        <w:tc>
          <w:tcPr>
            <w:tcW w:w="7051" w:type="dxa"/>
            <w:tcBorders>
              <w:top w:val="nil"/>
              <w:left w:val="nil"/>
              <w:bottom w:val="single" w:color="auto" w:sz="6" w:space="0"/>
              <w:right w:val="single" w:color="auto" w:sz="6" w:space="0"/>
            </w:tcBorders>
            <w:shd w:val="clear" w:color="auto" w:fill="auto"/>
            <w:tcMar>
              <w:left w:w="105" w:type="dxa"/>
              <w:right w:w="105" w:type="dxa"/>
            </w:tcMar>
            <w:vAlign w:val="center"/>
          </w:tcPr>
          <w:p w14:paraId="1B6EED49">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b w:val="0"/>
                <w:bCs w:val="0"/>
                <w:color w:val="000000"/>
                <w:kern w:val="0"/>
                <w:sz w:val="24"/>
                <w:szCs w:val="24"/>
                <w:lang w:val="en-US" w:eastAsia="zh-CN" w:bidi="ar"/>
              </w:rPr>
              <w:t>德谷胰岛素注射液治疗 2 型糖尿病的有效性和安全性的多中心、随机、开放、平行组、阳性对照的 III 期研究</w:t>
            </w:r>
          </w:p>
        </w:tc>
      </w:tr>
      <w:tr w14:paraId="46B6D4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50" w:hRule="atLeast"/>
          <w:tblCellSpacing w:w="0" w:type="dxa"/>
          <w:jc w:val="center"/>
        </w:trPr>
        <w:tc>
          <w:tcPr>
            <w:tcW w:w="1133"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14770EFA">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rPr>
              <w:t>3</w:t>
            </w:r>
          </w:p>
        </w:tc>
        <w:tc>
          <w:tcPr>
            <w:tcW w:w="7051" w:type="dxa"/>
            <w:tcBorders>
              <w:top w:val="nil"/>
              <w:left w:val="nil"/>
              <w:bottom w:val="single" w:color="auto" w:sz="6" w:space="0"/>
              <w:right w:val="single" w:color="auto" w:sz="6" w:space="0"/>
            </w:tcBorders>
            <w:shd w:val="clear" w:color="auto" w:fill="auto"/>
            <w:tcMar>
              <w:left w:w="105" w:type="dxa"/>
              <w:right w:w="105" w:type="dxa"/>
            </w:tcMar>
            <w:vAlign w:val="center"/>
          </w:tcPr>
          <w:p w14:paraId="6F9B5E27">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b w:val="0"/>
                <w:bCs w:val="0"/>
                <w:color w:val="000000"/>
                <w:kern w:val="0"/>
                <w:sz w:val="24"/>
                <w:szCs w:val="24"/>
                <w:lang w:val="en-US" w:eastAsia="zh-CN" w:bidi="ar"/>
              </w:rPr>
              <w:t>一项多中心、随机、双盲、安慰剂对照III期临床研究以评价在接受二甲双胍单药或二甲双胍联合胰岛素促泌剂治疗后血糖控制不佳的2型糖尿病患者中CJC‑1134‑PC注射液每周给药1次的有效性和安全性</w:t>
            </w:r>
          </w:p>
        </w:tc>
      </w:tr>
      <w:tr w14:paraId="1077F1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0" w:hRule="atLeast"/>
          <w:tblCellSpacing w:w="0" w:type="dxa"/>
          <w:jc w:val="center"/>
        </w:trPr>
        <w:tc>
          <w:tcPr>
            <w:tcW w:w="1133"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17887576">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rPr>
              <w:t>4</w:t>
            </w:r>
          </w:p>
        </w:tc>
        <w:tc>
          <w:tcPr>
            <w:tcW w:w="7051" w:type="dxa"/>
            <w:tcBorders>
              <w:top w:val="nil"/>
              <w:left w:val="nil"/>
              <w:bottom w:val="single" w:color="auto" w:sz="6" w:space="0"/>
              <w:right w:val="single" w:color="auto" w:sz="6" w:space="0"/>
            </w:tcBorders>
            <w:shd w:val="clear" w:color="auto" w:fill="auto"/>
            <w:tcMar>
              <w:left w:w="105" w:type="dxa"/>
              <w:right w:w="105" w:type="dxa"/>
            </w:tcMar>
            <w:vAlign w:val="center"/>
          </w:tcPr>
          <w:p w14:paraId="75949F63">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b w:val="0"/>
                <w:bCs w:val="0"/>
                <w:color w:val="000000"/>
                <w:kern w:val="0"/>
                <w:sz w:val="24"/>
                <w:szCs w:val="24"/>
                <w:lang w:val="en-US" w:eastAsia="zh-CN" w:bidi="ar"/>
              </w:rPr>
              <w:t>一项多中心、随机、双盲、安慰剂对照III期临床研究以评价未接受过抗糖尿病药物治疗的血糖控制不佳的2型糖尿病患者中CJC-1134-PC注射液每周给药1次的有效性和安全性</w:t>
            </w:r>
          </w:p>
        </w:tc>
      </w:tr>
      <w:tr w14:paraId="6778F5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blCellSpacing w:w="0" w:type="dxa"/>
          <w:jc w:val="center"/>
        </w:trPr>
        <w:tc>
          <w:tcPr>
            <w:tcW w:w="1133"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5AA695D8">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rPr>
              <w:t>5</w:t>
            </w:r>
          </w:p>
        </w:tc>
        <w:tc>
          <w:tcPr>
            <w:tcW w:w="7051" w:type="dxa"/>
            <w:tcBorders>
              <w:top w:val="nil"/>
              <w:left w:val="nil"/>
              <w:bottom w:val="single" w:color="auto" w:sz="6" w:space="0"/>
              <w:right w:val="single" w:color="auto" w:sz="6" w:space="0"/>
            </w:tcBorders>
            <w:shd w:val="clear" w:color="auto" w:fill="auto"/>
            <w:tcMar>
              <w:left w:w="105" w:type="dxa"/>
              <w:right w:w="105" w:type="dxa"/>
            </w:tcMar>
            <w:vAlign w:val="center"/>
          </w:tcPr>
          <w:p w14:paraId="7B580A51">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评价司美格鲁肽注射液在中国肥胖成人中有效性和安全性的随机、开放、阳性药平行对照的III期临床研究</w:t>
            </w:r>
          </w:p>
        </w:tc>
      </w:tr>
      <w:tr w14:paraId="0AD68B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95" w:hRule="atLeast"/>
          <w:tblCellSpacing w:w="0" w:type="dxa"/>
          <w:jc w:val="center"/>
        </w:trPr>
        <w:tc>
          <w:tcPr>
            <w:tcW w:w="1133"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7D742C83">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rPr>
              <w:t>6</w:t>
            </w:r>
          </w:p>
        </w:tc>
        <w:tc>
          <w:tcPr>
            <w:tcW w:w="7051" w:type="dxa"/>
            <w:tcBorders>
              <w:top w:val="nil"/>
              <w:left w:val="nil"/>
              <w:bottom w:val="single" w:color="auto" w:sz="6" w:space="0"/>
              <w:right w:val="single" w:color="auto" w:sz="6" w:space="0"/>
            </w:tcBorders>
            <w:shd w:val="clear" w:color="auto" w:fill="auto"/>
            <w:tcMar>
              <w:left w:w="105" w:type="dxa"/>
              <w:right w:w="105" w:type="dxa"/>
            </w:tcMar>
            <w:vAlign w:val="center"/>
          </w:tcPr>
          <w:p w14:paraId="2A923991">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比较司美格鲁肽注射液与诺和泰@治疗2型糖尿病的有效性和安全性的多中心、随机、开放、阳性对照、平行设计的III期临床试验</w:t>
            </w:r>
          </w:p>
        </w:tc>
      </w:tr>
      <w:tr w14:paraId="7BBF4E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95" w:hRule="atLeast"/>
          <w:tblCellSpacing w:w="0" w:type="dxa"/>
          <w:jc w:val="center"/>
        </w:trPr>
        <w:tc>
          <w:tcPr>
            <w:tcW w:w="1133"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759789E5">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7</w:t>
            </w:r>
          </w:p>
        </w:tc>
        <w:tc>
          <w:tcPr>
            <w:tcW w:w="7051" w:type="dxa"/>
            <w:tcBorders>
              <w:top w:val="nil"/>
              <w:left w:val="nil"/>
              <w:bottom w:val="single" w:color="auto" w:sz="6" w:space="0"/>
              <w:right w:val="single" w:color="auto" w:sz="6" w:space="0"/>
            </w:tcBorders>
            <w:shd w:val="clear" w:color="auto" w:fill="auto"/>
            <w:tcMar>
              <w:left w:w="105" w:type="dxa"/>
              <w:right w:w="105" w:type="dxa"/>
            </w:tcMar>
            <w:vAlign w:val="center"/>
          </w:tcPr>
          <w:p w14:paraId="51E7F724">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比较LPS-001注射液与诺和泰®治疗2型糖尿病的有效性和安全性的多中心、随机、开放、阳性对照、平行设计的III期临床试验</w:t>
            </w:r>
          </w:p>
        </w:tc>
      </w:tr>
      <w:tr w14:paraId="66E1D7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95" w:hRule="atLeast"/>
          <w:tblCellSpacing w:w="0" w:type="dxa"/>
          <w:jc w:val="center"/>
        </w:trPr>
        <w:tc>
          <w:tcPr>
            <w:tcW w:w="1133"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34469938">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8</w:t>
            </w:r>
          </w:p>
        </w:tc>
        <w:tc>
          <w:tcPr>
            <w:tcW w:w="7051" w:type="dxa"/>
            <w:tcBorders>
              <w:top w:val="nil"/>
              <w:left w:val="nil"/>
              <w:bottom w:val="single" w:color="auto" w:sz="6" w:space="0"/>
              <w:right w:val="single" w:color="auto" w:sz="6" w:space="0"/>
            </w:tcBorders>
            <w:shd w:val="clear" w:color="auto" w:fill="auto"/>
            <w:tcMar>
              <w:left w:w="105" w:type="dxa"/>
              <w:right w:w="105" w:type="dxa"/>
            </w:tcMar>
            <w:vAlign w:val="center"/>
          </w:tcPr>
          <w:p w14:paraId="4F54F449">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b w:val="0"/>
                <w:bCs w:val="0"/>
                <w:color w:val="000000"/>
                <w:kern w:val="0"/>
                <w:sz w:val="24"/>
                <w:szCs w:val="24"/>
                <w:lang w:val="en-US" w:eastAsia="zh-CN" w:bidi="ar"/>
              </w:rPr>
              <w:t>恒格列净对降低2型糖尿病患者的血清尿酸水平的有效性与安全性的真实世界研究</w:t>
            </w:r>
          </w:p>
        </w:tc>
      </w:tr>
    </w:tbl>
    <w:p w14:paraId="3236A4FA">
      <w:pPr>
        <w:keepNext w:val="0"/>
        <w:keepLines w:val="0"/>
        <w:pageBreakBefore w:val="0"/>
        <w:kinsoku/>
        <w:wordWrap/>
        <w:overflowPunct/>
        <w:topLinePunct w:val="0"/>
        <w:autoSpaceDE/>
        <w:autoSpaceDN/>
        <w:bidi w:val="0"/>
        <w:adjustRightInd/>
        <w:snapToGrid/>
        <w:spacing w:beforeAutospacing="0" w:afterAutospacing="0" w:line="360" w:lineRule="auto"/>
        <w:ind w:firstLine="0" w:firstLineChars="0"/>
        <w:jc w:val="left"/>
        <w:textAlignment w:val="auto"/>
        <w:rPr>
          <w:rFonts w:hint="eastAsia" w:ascii="宋体" w:hAnsi="宋体" w:eastAsia="宋体" w:cs="宋体"/>
          <w:sz w:val="24"/>
          <w:szCs w:val="24"/>
        </w:rPr>
      </w:pPr>
    </w:p>
    <w:p w14:paraId="4C281437">
      <w:pPr>
        <w:keepNext w:val="0"/>
        <w:keepLines w:val="0"/>
        <w:pageBreakBefore w:val="0"/>
        <w:kinsoku/>
        <w:wordWrap/>
        <w:overflowPunct/>
        <w:topLinePunct w:val="0"/>
        <w:autoSpaceDE/>
        <w:autoSpaceDN/>
        <w:bidi w:val="0"/>
        <w:adjustRightInd/>
        <w:snapToGrid/>
        <w:spacing w:beforeAutospacing="0" w:afterAutospacing="0" w:line="360" w:lineRule="auto"/>
        <w:ind w:firstLine="0" w:firstLineChars="0"/>
        <w:jc w:val="left"/>
        <w:textAlignment w:val="auto"/>
        <w:rPr>
          <w:rFonts w:hint="default" w:ascii="Times New Roman" w:hAnsi="Times New Roman" w:eastAsia="宋体" w:cs="Times New Roman"/>
          <w:sz w:val="24"/>
          <w:szCs w:val="24"/>
        </w:rPr>
      </w:pPr>
    </w:p>
    <w:sectPr>
      <w:pgSz w:w="11906" w:h="16838"/>
      <w:pgMar w:top="1440" w:right="1797" w:bottom="1440" w:left="1797" w:header="851" w:footer="992" w:gutter="0"/>
      <w:pgBorders>
        <w:top w:val="none" w:sz="0" w:space="0"/>
        <w:left w:val="none" w:sz="0" w:space="0"/>
        <w:bottom w:val="none" w:sz="0" w:space="0"/>
        <w:right w:val="none" w:sz="0" w:space="0"/>
      </w:pgBorders>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A41191"/>
    <w:rsid w:val="0A92134D"/>
    <w:rsid w:val="12F232D0"/>
    <w:rsid w:val="171750B3"/>
    <w:rsid w:val="178C2567"/>
    <w:rsid w:val="1A4D16AB"/>
    <w:rsid w:val="1D1D3797"/>
    <w:rsid w:val="1D444093"/>
    <w:rsid w:val="1EC634A4"/>
    <w:rsid w:val="20C3670A"/>
    <w:rsid w:val="24D46751"/>
    <w:rsid w:val="258D0DA8"/>
    <w:rsid w:val="292E39DC"/>
    <w:rsid w:val="2DC72F38"/>
    <w:rsid w:val="2EE6563F"/>
    <w:rsid w:val="37215DAE"/>
    <w:rsid w:val="38F2132E"/>
    <w:rsid w:val="3E9450B8"/>
    <w:rsid w:val="42A25018"/>
    <w:rsid w:val="44323F78"/>
    <w:rsid w:val="4968161B"/>
    <w:rsid w:val="4B295709"/>
    <w:rsid w:val="56F11C19"/>
    <w:rsid w:val="58A61818"/>
    <w:rsid w:val="59A33D93"/>
    <w:rsid w:val="5D1B16E2"/>
    <w:rsid w:val="610B0DB2"/>
    <w:rsid w:val="6307074E"/>
    <w:rsid w:val="693E784B"/>
    <w:rsid w:val="6C845EBC"/>
    <w:rsid w:val="754509C7"/>
    <w:rsid w:val="7B713DF5"/>
    <w:rsid w:val="7D3D33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
    <w:name w:val="Strong"/>
    <w:basedOn w:val="6"/>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1941</Words>
  <Characters>2039</Characters>
  <Lines>0</Lines>
  <Paragraphs>0</Paragraphs>
  <TotalTime>2</TotalTime>
  <ScaleCrop>false</ScaleCrop>
  <LinksUpToDate>false</LinksUpToDate>
  <CharactersWithSpaces>2055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2024-03-07T02:28:00Z</dcterms:created>
  <dc:creator>Administrator</dc:creator>
  <cp:lastModifiedBy>李倩</cp:lastModifiedBy>
  <dcterms:modified xsi:type="dcterms:W3CDTF">2026-01-19T07:22:58Z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C7B832E4B0214F1F8FFA33F5D902F811_13</vt:lpwstr>
  </property>
  <property fmtid="{D5CDD505-2E9C-101B-9397-08002B2CF9AE}" pid="4" name="KSOTemplateDocerSaveRecord">
    <vt:lpwstr>eyJoZGlkIjoiOWQ0YWI2NGY4YTdlODYyMzc3ZDI4NDhhMzVhNjBlNjIiLCJ1c2VySWQiOiIzMTM4MTI4NjIifQ==</vt:lpwstr>
  </property>
</Properties>
</file>