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C9317E">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jc w:val="center"/>
        <w:textAlignment w:val="auto"/>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lang w:val="en-US" w:eastAsia="zh-CN"/>
        </w:rPr>
        <w:t>重症医学科高依赖病区</w:t>
      </w:r>
    </w:p>
    <w:p w14:paraId="5749835D">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3534" w:firstLineChars="1100"/>
        <w:jc w:val="both"/>
        <w:textAlignment w:val="auto"/>
        <w:rPr>
          <w:rFonts w:hint="eastAsia" w:asciiTheme="majorEastAsia" w:hAnsiTheme="majorEastAsia" w:eastAsiaTheme="majorEastAsia" w:cstheme="majorEastAsia"/>
          <w:sz w:val="32"/>
          <w:szCs w:val="32"/>
        </w:rPr>
      </w:pPr>
      <w:r>
        <w:rPr>
          <w:rStyle w:val="7"/>
          <w:rFonts w:hint="eastAsia" w:asciiTheme="majorEastAsia" w:hAnsiTheme="majorEastAsia" w:eastAsiaTheme="majorEastAsia" w:cstheme="majorEastAsia"/>
          <w:sz w:val="32"/>
          <w:szCs w:val="32"/>
        </w:rPr>
        <w:t>专业介绍</w:t>
      </w:r>
    </w:p>
    <w:p w14:paraId="04826765">
      <w:pPr>
        <w:keepNext w:val="0"/>
        <w:keepLines w:val="0"/>
        <w:pageBreakBefore w:val="0"/>
        <w:widowControl/>
        <w:kinsoku/>
        <w:wordWrap/>
        <w:overflowPunct/>
        <w:topLinePunct w:val="0"/>
        <w:autoSpaceDE/>
        <w:autoSpaceDN/>
        <w:bidi w:val="0"/>
        <w:adjustRightInd/>
        <w:snapToGrid/>
        <w:spacing w:before="180" w:beforeAutospacing="0" w:afterAutospacing="0" w:line="360" w:lineRule="auto"/>
        <w:ind w:firstLine="480" w:firstLineChars="200"/>
        <w:jc w:val="left"/>
        <w:textAlignment w:val="auto"/>
        <w:rPr>
          <w:rFonts w:hint="default" w:ascii="Times New Roman" w:hAnsi="Times New Roman" w:eastAsia="宋体" w:cs="Times New Roman"/>
          <w:b w:val="0"/>
          <w:bCs w:val="0"/>
          <w:sz w:val="24"/>
          <w:szCs w:val="24"/>
          <w:lang w:val="en-US" w:eastAsia="zh-CN"/>
        </w:rPr>
      </w:pPr>
      <w:r>
        <w:rPr>
          <w:rFonts w:hint="default" w:ascii="Times New Roman" w:hAnsi="Times New Roman" w:eastAsia="宋体" w:cs="Times New Roman"/>
          <w:color w:val="auto"/>
          <w:kern w:val="0"/>
          <w:sz w:val="24"/>
          <w:szCs w:val="24"/>
        </w:rPr>
        <w:t>【科室概况】</w:t>
      </w:r>
    </w:p>
    <w:p w14:paraId="7478271F">
      <w:pPr>
        <w:pStyle w:val="2"/>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lang w:val="en-US" w:eastAsia="zh-CN"/>
        </w:rPr>
        <w:t>重症医学科高依赖病区</w:t>
      </w:r>
      <w:r>
        <w:rPr>
          <w:rFonts w:hint="default" w:ascii="Times New Roman" w:hAnsi="Times New Roman" w:eastAsia="宋体" w:cs="Times New Roman"/>
          <w:b w:val="0"/>
          <w:bCs w:val="0"/>
          <w:sz w:val="24"/>
          <w:szCs w:val="24"/>
        </w:rPr>
        <w:t>是</w:t>
      </w:r>
      <w:r>
        <w:rPr>
          <w:rFonts w:hint="default" w:ascii="Times New Roman" w:hAnsi="Times New Roman" w:eastAsia="宋体" w:cs="Times New Roman"/>
          <w:b w:val="0"/>
          <w:bCs w:val="0"/>
          <w:sz w:val="24"/>
          <w:szCs w:val="24"/>
          <w:lang w:val="en-US" w:eastAsia="zh-CN"/>
        </w:rPr>
        <w:t>湛江中心人民医院</w:t>
      </w:r>
      <w:r>
        <w:rPr>
          <w:rFonts w:hint="default" w:ascii="Times New Roman" w:hAnsi="Times New Roman" w:eastAsia="宋体" w:cs="Times New Roman"/>
          <w:b w:val="0"/>
          <w:bCs w:val="0"/>
          <w:sz w:val="24"/>
          <w:szCs w:val="24"/>
        </w:rPr>
        <w:t>国家药物临床试验机构专业之一，设在</w:t>
      </w:r>
      <w:r>
        <w:rPr>
          <w:rFonts w:hint="default" w:ascii="Times New Roman" w:hAnsi="Times New Roman" w:eastAsia="宋体" w:cs="Times New Roman"/>
          <w:b w:val="0"/>
          <w:bCs w:val="0"/>
          <w:sz w:val="24"/>
          <w:szCs w:val="24"/>
          <w:lang w:val="en-US" w:eastAsia="zh-CN"/>
        </w:rPr>
        <w:t>I期临床试验病房上层，而有部分医护人员是I期临床试验病房的研究者</w:t>
      </w:r>
      <w:r>
        <w:rPr>
          <w:rFonts w:hint="default" w:ascii="Times New Roman" w:hAnsi="Times New Roman" w:eastAsia="宋体" w:cs="Times New Roman"/>
          <w:b w:val="0"/>
          <w:bCs w:val="0"/>
          <w:sz w:val="24"/>
          <w:szCs w:val="24"/>
        </w:rPr>
        <w:t>。</w:t>
      </w:r>
    </w:p>
    <w:p w14:paraId="2B112419">
      <w:pPr>
        <w:keepNext w:val="0"/>
        <w:keepLines w:val="0"/>
        <w:pageBreakBefore w:val="0"/>
        <w:kinsoku/>
        <w:wordWrap/>
        <w:overflowPunct/>
        <w:topLinePunct w:val="0"/>
        <w:autoSpaceDE/>
        <w:autoSpaceDN/>
        <w:bidi w:val="0"/>
        <w:adjustRightInd/>
        <w:snapToGrid/>
        <w:spacing w:before="180" w:beforeAutospacing="0" w:afterAutospacing="0" w:line="360" w:lineRule="auto"/>
        <w:ind w:firstLine="480" w:firstLineChars="200"/>
        <w:textAlignment w:val="auto"/>
        <w:rPr>
          <w:rFonts w:hint="default" w:ascii="Times New Roman" w:hAnsi="Times New Roman" w:eastAsia="宋体" w:cs="Times New Roman"/>
          <w:b w:val="0"/>
          <w:bCs/>
          <w:color w:val="auto"/>
          <w:sz w:val="24"/>
          <w:szCs w:val="24"/>
          <w:lang w:val="en-US" w:eastAsia="zh-CN"/>
        </w:rPr>
      </w:pPr>
      <w:r>
        <w:rPr>
          <w:rFonts w:hint="default" w:ascii="Times New Roman" w:hAnsi="Times New Roman" w:eastAsia="宋体" w:cs="Times New Roman"/>
          <w:b w:val="0"/>
          <w:bCs/>
          <w:color w:val="auto"/>
          <w:sz w:val="24"/>
          <w:szCs w:val="24"/>
          <w:lang w:val="en-US" w:eastAsia="zh-CN"/>
        </w:rPr>
        <w:t>重症医学科高依赖病区是一个由重症与康复相结合而形成的延申学科，主要针对ICU出院后、生命体征稳定的危重病人以及疑难复杂功能障碍患者，通过“监护、治疗、康复、护理”一体化模式，提供重症监护+超早期心肺、运动、营养、心理康复等康复治疗</w:t>
      </w:r>
      <w:r>
        <w:rPr>
          <w:rFonts w:hint="eastAsia" w:ascii="Times New Roman" w:hAnsi="Times New Roman" w:eastAsia="宋体" w:cs="Times New Roman"/>
          <w:b w:val="0"/>
          <w:bCs/>
          <w:color w:val="auto"/>
          <w:sz w:val="24"/>
          <w:szCs w:val="24"/>
          <w:lang w:val="en-US" w:eastAsia="zh-CN"/>
        </w:rPr>
        <w:t>，</w:t>
      </w:r>
      <w:r>
        <w:rPr>
          <w:rFonts w:hint="default" w:ascii="Times New Roman" w:hAnsi="Times New Roman" w:eastAsia="宋体" w:cs="Times New Roman"/>
          <w:b w:val="0"/>
          <w:bCs/>
          <w:color w:val="auto"/>
          <w:sz w:val="24"/>
          <w:szCs w:val="24"/>
          <w:lang w:val="en-US" w:eastAsia="zh-CN"/>
        </w:rPr>
        <w:t>减少患者并发症、尽早拔管或脱机、恢复身体功能、提升生存质量。重症康复有别于重症医学及康复医科，有它自身的特性如下：</w:t>
      </w:r>
    </w:p>
    <w:p w14:paraId="3AA6895D">
      <w:pPr>
        <w:keepNext w:val="0"/>
        <w:keepLines w:val="0"/>
        <w:pageBreakBefore w:val="0"/>
        <w:kinsoku/>
        <w:wordWrap/>
        <w:overflowPunct/>
        <w:topLinePunct w:val="0"/>
        <w:autoSpaceDE/>
        <w:autoSpaceDN/>
        <w:bidi w:val="0"/>
        <w:adjustRightInd/>
        <w:snapToGrid/>
        <w:spacing w:before="180" w:beforeAutospacing="0" w:afterAutospacing="0" w:line="360" w:lineRule="auto"/>
        <w:ind w:firstLine="480" w:firstLineChars="200"/>
        <w:textAlignment w:val="auto"/>
        <w:rPr>
          <w:rFonts w:hint="default" w:ascii="Times New Roman" w:hAnsi="Times New Roman" w:eastAsia="宋体" w:cs="Times New Roman"/>
          <w:b w:val="0"/>
          <w:bCs/>
          <w:color w:val="auto"/>
          <w:sz w:val="24"/>
          <w:szCs w:val="24"/>
          <w:lang w:val="en-US" w:eastAsia="zh-CN"/>
        </w:rPr>
      </w:pPr>
      <w:r>
        <w:rPr>
          <w:rFonts w:hint="default" w:ascii="Times New Roman" w:hAnsi="Times New Roman" w:eastAsia="宋体" w:cs="Times New Roman"/>
          <w:b w:val="0"/>
          <w:bCs/>
          <w:color w:val="auto"/>
          <w:sz w:val="24"/>
          <w:szCs w:val="24"/>
          <w:lang w:val="en-US" w:eastAsia="zh-CN"/>
        </w:rPr>
        <w:t>（一）重症康复理念：康复医学贯穿整个疾病过程，而不仅仅是在疾病之后；</w:t>
      </w:r>
    </w:p>
    <w:p w14:paraId="2C05589E">
      <w:pPr>
        <w:keepNext w:val="0"/>
        <w:keepLines w:val="0"/>
        <w:pageBreakBefore w:val="0"/>
        <w:kinsoku/>
        <w:wordWrap/>
        <w:overflowPunct/>
        <w:topLinePunct w:val="0"/>
        <w:autoSpaceDE/>
        <w:autoSpaceDN/>
        <w:bidi w:val="0"/>
        <w:adjustRightInd/>
        <w:snapToGrid/>
        <w:spacing w:before="180" w:beforeAutospacing="0" w:afterAutospacing="0" w:line="360" w:lineRule="auto"/>
        <w:ind w:firstLine="480" w:firstLineChars="200"/>
        <w:textAlignment w:val="auto"/>
        <w:rPr>
          <w:rFonts w:hint="default" w:ascii="Times New Roman" w:hAnsi="Times New Roman" w:eastAsia="宋体" w:cs="Times New Roman"/>
          <w:b w:val="0"/>
          <w:bCs/>
          <w:color w:val="auto"/>
          <w:sz w:val="24"/>
          <w:szCs w:val="24"/>
          <w:lang w:val="en-US" w:eastAsia="zh-CN"/>
        </w:rPr>
      </w:pPr>
      <w:r>
        <w:rPr>
          <w:rFonts w:hint="default" w:ascii="Times New Roman" w:hAnsi="Times New Roman" w:eastAsia="宋体" w:cs="Times New Roman"/>
          <w:b w:val="0"/>
          <w:bCs/>
          <w:color w:val="auto"/>
          <w:sz w:val="24"/>
          <w:szCs w:val="24"/>
          <w:lang w:val="en-US" w:eastAsia="zh-CN"/>
        </w:rPr>
        <w:t>重症康复不等同于重症医学与康复医学简单合并，不等于急性期康复和早期康复；</w:t>
      </w:r>
      <w:bookmarkStart w:id="0" w:name="_GoBack"/>
      <w:bookmarkEnd w:id="0"/>
      <w:r>
        <w:rPr>
          <w:rFonts w:hint="default" w:ascii="Times New Roman" w:hAnsi="Times New Roman" w:eastAsia="宋体" w:cs="Times New Roman"/>
          <w:b w:val="0"/>
          <w:bCs/>
          <w:color w:val="auto"/>
          <w:sz w:val="24"/>
          <w:szCs w:val="24"/>
          <w:lang w:val="en-US" w:eastAsia="zh-CN"/>
        </w:rPr>
        <w:t>重症康复有自身规律。</w:t>
      </w:r>
    </w:p>
    <w:p w14:paraId="0A9551BB">
      <w:pPr>
        <w:keepNext w:val="0"/>
        <w:keepLines w:val="0"/>
        <w:pageBreakBefore w:val="0"/>
        <w:widowControl w:val="0"/>
        <w:kinsoku/>
        <w:wordWrap/>
        <w:overflowPunct/>
        <w:topLinePunct w:val="0"/>
        <w:autoSpaceDE/>
        <w:autoSpaceDN/>
        <w:bidi w:val="0"/>
        <w:adjustRightInd/>
        <w:snapToGrid/>
        <w:spacing w:beforeAutospacing="0" w:afterAutospacing="0" w:line="360" w:lineRule="auto"/>
        <w:ind w:firstLine="480" w:firstLineChars="200"/>
        <w:textAlignment w:val="auto"/>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sz w:val="24"/>
          <w:szCs w:val="24"/>
          <w:lang w:val="en-US" w:eastAsia="zh-CN"/>
        </w:rPr>
        <w:t>（二）重症康复的目标：</w:t>
      </w:r>
      <w:r>
        <w:rPr>
          <w:rFonts w:hint="default" w:ascii="Times New Roman" w:hAnsi="Times New Roman" w:eastAsia="宋体" w:cs="Times New Roman"/>
          <w:sz w:val="24"/>
          <w:szCs w:val="24"/>
        </w:rPr>
        <w:t>防治并发症，预防功能退化和功能障碍；改善功能性活动能力；改善认知、情感和交流障碍；缩短机械通气时间和住院时长，降低医疗支出。</w:t>
      </w:r>
    </w:p>
    <w:p w14:paraId="6BC5E1DA">
      <w:pPr>
        <w:keepNext w:val="0"/>
        <w:keepLines w:val="0"/>
        <w:pageBreakBefore w:val="0"/>
        <w:kinsoku/>
        <w:wordWrap/>
        <w:overflowPunct/>
        <w:topLinePunct w:val="0"/>
        <w:autoSpaceDE/>
        <w:autoSpaceDN/>
        <w:bidi w:val="0"/>
        <w:adjustRightInd/>
        <w:snapToGrid/>
        <w:spacing w:before="180" w:beforeAutospacing="0" w:afterAutospacing="0" w:line="360" w:lineRule="auto"/>
        <w:ind w:firstLine="480" w:firstLineChars="200"/>
        <w:textAlignment w:val="auto"/>
        <w:rPr>
          <w:rFonts w:hint="default" w:ascii="Times New Roman" w:hAnsi="Times New Roman" w:eastAsia="宋体" w:cs="Times New Roman"/>
          <w:b w:val="0"/>
          <w:bCs/>
          <w:i w:val="0"/>
          <w:iCs w:val="0"/>
          <w:caps w:val="0"/>
          <w:color w:val="191919"/>
          <w:spacing w:val="0"/>
          <w:sz w:val="24"/>
          <w:szCs w:val="24"/>
          <w:shd w:val="clear" w:color="auto" w:fill="FFFFFF"/>
          <w:lang w:val="en-US" w:eastAsia="zh-CN"/>
        </w:rPr>
      </w:pPr>
      <w:r>
        <w:rPr>
          <w:rFonts w:hint="default" w:ascii="Times New Roman" w:hAnsi="Times New Roman" w:eastAsia="宋体" w:cs="Times New Roman"/>
          <w:b w:val="0"/>
          <w:bCs/>
          <w:color w:val="auto"/>
          <w:sz w:val="24"/>
          <w:szCs w:val="24"/>
          <w:lang w:val="en-US" w:eastAsia="zh-CN"/>
        </w:rPr>
        <w:t>重症医学科高依赖病区有16台有创呼吸机、20台高流量鼻导氧疗机为重症患者提供呼吸支持治疗，2台床边血液净化机随时为患者提供肾脏替代功能及人工肝替代功能，每床配备有中央连网生命征监护仪。本科医疗团队有以重症专业医师为主的医生团队、康复专业的技师团队、联合其它专科团队（高压氧科团队、营养科团队、中医科医师团队、临床药学师团队、心理科团队等），具有强大的重疾、急病救治处理能力，可以开展床旁纤支镜灌洗、气管插管、床边CRR治疗、心脏除颤、各用深静脉穿刺技术、有创血压监测、床旁心肺下腔彩超监测等重症操作技术，同时开展</w:t>
      </w:r>
      <w:r>
        <w:rPr>
          <w:rFonts w:hint="default" w:ascii="Times New Roman" w:hAnsi="Times New Roman" w:eastAsia="宋体" w:cs="Times New Roman"/>
          <w:b w:val="0"/>
          <w:bCs/>
          <w:i w:val="0"/>
          <w:iCs w:val="0"/>
          <w:caps w:val="0"/>
          <w:color w:val="191919"/>
          <w:spacing w:val="0"/>
          <w:sz w:val="24"/>
          <w:szCs w:val="24"/>
          <w:shd w:val="clear" w:color="auto" w:fill="FFFFFF"/>
        </w:rPr>
        <w:t>贯穿整个疾病过程</w:t>
      </w:r>
      <w:r>
        <w:rPr>
          <w:rFonts w:hint="default" w:ascii="Times New Roman" w:hAnsi="Times New Roman" w:eastAsia="宋体" w:cs="Times New Roman"/>
          <w:b w:val="0"/>
          <w:bCs/>
          <w:i w:val="0"/>
          <w:iCs w:val="0"/>
          <w:caps w:val="0"/>
          <w:color w:val="191919"/>
          <w:spacing w:val="0"/>
          <w:sz w:val="24"/>
          <w:szCs w:val="24"/>
          <w:shd w:val="clear" w:color="auto" w:fill="FFFFFF"/>
          <w:lang w:val="en-US" w:eastAsia="zh-CN"/>
        </w:rPr>
        <w:t>的以心肺、脑、胃肠、肢体、心理为主的康复治疗。改变了传统康复不能、不敢对重症患者开展康复治疗的理念，我科已常规开展重症患者床旁康复、带呼吸离床康复等先进手段。目前为至已成功救治多名呼吸脱机困难患者，明显减少传统ICU谵妄的发生率、住院天数及住院费用、有效促进重症患者的功能康复。</w:t>
      </w:r>
    </w:p>
    <w:p w14:paraId="3FC5309F">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rPr>
        <w:t>科室地址：</w:t>
      </w:r>
      <w:r>
        <w:rPr>
          <w:rFonts w:hint="default" w:ascii="Times New Roman" w:hAnsi="Times New Roman" w:eastAsia="宋体" w:cs="Times New Roman"/>
          <w:sz w:val="24"/>
          <w:szCs w:val="24"/>
          <w:lang w:val="en-US" w:eastAsia="zh-CN"/>
        </w:rPr>
        <w:t>湛江市赤坎区源珠路236号湛江中心人民医院12号楼三、四层</w:t>
      </w:r>
    </w:p>
    <w:p w14:paraId="39877C51">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专业人员数：</w:t>
      </w:r>
      <w:r>
        <w:rPr>
          <w:rFonts w:hint="default" w:ascii="Times New Roman" w:hAnsi="Times New Roman" w:eastAsia="宋体" w:cs="Times New Roman"/>
          <w:sz w:val="24"/>
          <w:szCs w:val="24"/>
          <w:lang w:val="en-US" w:eastAsia="zh-CN"/>
        </w:rPr>
        <w:t>54</w:t>
      </w:r>
      <w:r>
        <w:rPr>
          <w:rFonts w:hint="default" w:ascii="Times New Roman" w:hAnsi="Times New Roman" w:eastAsia="宋体" w:cs="Times New Roman"/>
          <w:sz w:val="24"/>
          <w:szCs w:val="24"/>
        </w:rPr>
        <w:t>余人</w:t>
      </w:r>
    </w:p>
    <w:p w14:paraId="37830C13">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rPr>
        <w:t>病床数：</w:t>
      </w:r>
      <w:r>
        <w:rPr>
          <w:rFonts w:hint="default" w:ascii="Times New Roman" w:hAnsi="Times New Roman" w:eastAsia="宋体" w:cs="Times New Roman"/>
          <w:sz w:val="24"/>
          <w:szCs w:val="24"/>
          <w:lang w:val="en-US" w:eastAsia="zh-CN"/>
        </w:rPr>
        <w:t>60</w:t>
      </w:r>
    </w:p>
    <w:p w14:paraId="7787B0C3">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联系电话（座机或手机）：</w:t>
      </w:r>
      <w:r>
        <w:rPr>
          <w:rFonts w:hint="default" w:ascii="Times New Roman" w:hAnsi="Times New Roman" w:eastAsia="宋体" w:cs="Times New Roman"/>
          <w:sz w:val="24"/>
          <w:szCs w:val="24"/>
          <w:lang w:val="en-US" w:eastAsia="zh-CN"/>
        </w:rPr>
        <w:t>0759-3157756</w:t>
      </w:r>
      <w:r>
        <w:rPr>
          <w:rFonts w:hint="default" w:ascii="Times New Roman" w:hAnsi="Times New Roman" w:eastAsia="宋体" w:cs="Times New Roman"/>
          <w:sz w:val="24"/>
          <w:szCs w:val="24"/>
        </w:rPr>
        <w:t xml:space="preserve">  </w:t>
      </w:r>
    </w:p>
    <w:p w14:paraId="0F555C18">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邮箱：</w:t>
      </w:r>
      <w:r>
        <w:rPr>
          <w:rFonts w:hint="default" w:ascii="Times New Roman" w:hAnsi="Times New Roman" w:eastAsia="宋体" w:cs="Times New Roman"/>
          <w:kern w:val="2"/>
          <w:sz w:val="24"/>
          <w:szCs w:val="24"/>
          <w:lang w:val="en-US" w:eastAsia="zh-CN" w:bidi="zh-TW"/>
        </w:rPr>
        <w:t>13824821111@139.com</w:t>
      </w:r>
    </w:p>
    <w:p w14:paraId="5EEA2FF3">
      <w:pPr>
        <w:keepNext w:val="0"/>
        <w:keepLines w:val="0"/>
        <w:pageBreakBefore w:val="0"/>
        <w:kinsoku/>
        <w:wordWrap/>
        <w:overflowPunct/>
        <w:topLinePunct w:val="0"/>
        <w:autoSpaceDE/>
        <w:autoSpaceDN/>
        <w:bidi w:val="0"/>
        <w:adjustRightInd/>
        <w:snapToGrid/>
        <w:spacing w:before="180" w:beforeAutospacing="0" w:afterAutospacing="0" w:line="360" w:lineRule="auto"/>
        <w:ind w:firstLine="480" w:firstLineChars="200"/>
        <w:textAlignment w:val="auto"/>
        <w:rPr>
          <w:rFonts w:hint="default" w:ascii="Times New Roman" w:hAnsi="Times New Roman" w:eastAsia="宋体" w:cs="Times New Roman"/>
          <w:b w:val="0"/>
          <w:bCs/>
          <w:i w:val="0"/>
          <w:iCs w:val="0"/>
          <w:caps w:val="0"/>
          <w:color w:val="191919"/>
          <w:spacing w:val="0"/>
          <w:sz w:val="24"/>
          <w:szCs w:val="24"/>
          <w:shd w:val="clear" w:color="auto" w:fill="FFFFFF"/>
          <w:lang w:val="en-US" w:eastAsia="zh-CN"/>
        </w:rPr>
      </w:pPr>
      <w:r>
        <w:rPr>
          <w:rFonts w:hint="eastAsia" w:ascii="宋体" w:hAnsi="宋体" w:eastAsia="宋体" w:cs="宋体"/>
          <w:color w:val="auto"/>
          <w:kern w:val="0"/>
          <w:sz w:val="24"/>
          <w:szCs w:val="24"/>
        </w:rPr>
        <w:t>【技术团队】</w:t>
      </w:r>
    </w:p>
    <w:p w14:paraId="61E7EE75">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b w:val="0"/>
          <w:bCs/>
          <w:color w:val="auto"/>
          <w:sz w:val="24"/>
          <w:szCs w:val="24"/>
          <w:lang w:val="en-US" w:eastAsia="zh-CN"/>
        </w:rPr>
        <w:t>重症医学科高依赖病区有医生、护士、康复技师共54人，</w:t>
      </w:r>
      <w:r>
        <w:rPr>
          <w:rFonts w:hint="default" w:ascii="Times New Roman" w:hAnsi="Times New Roman" w:eastAsia="宋体" w:cs="Times New Roman"/>
          <w:sz w:val="24"/>
          <w:szCs w:val="24"/>
        </w:rPr>
        <w:t>高级职称</w:t>
      </w:r>
      <w:r>
        <w:rPr>
          <w:rFonts w:hint="default" w:ascii="Times New Roman" w:hAnsi="Times New Roman" w:eastAsia="宋体" w:cs="Times New Roman"/>
          <w:sz w:val="24"/>
          <w:szCs w:val="24"/>
          <w:lang w:val="en-US" w:eastAsia="zh-CN"/>
        </w:rPr>
        <w:t>3</w:t>
      </w:r>
      <w:r>
        <w:rPr>
          <w:rFonts w:hint="default" w:ascii="Times New Roman" w:hAnsi="Times New Roman" w:eastAsia="宋体" w:cs="Times New Roman"/>
          <w:sz w:val="24"/>
          <w:szCs w:val="24"/>
        </w:rPr>
        <w:t>人（正高</w:t>
      </w:r>
      <w:r>
        <w:rPr>
          <w:rFonts w:hint="default" w:ascii="Times New Roman" w:hAnsi="Times New Roman" w:eastAsia="宋体" w:cs="Times New Roman"/>
          <w:sz w:val="24"/>
          <w:szCs w:val="24"/>
          <w:lang w:val="en-US" w:eastAsia="zh-CN"/>
        </w:rPr>
        <w:t>1</w:t>
      </w:r>
      <w:r>
        <w:rPr>
          <w:rFonts w:hint="default" w:ascii="Times New Roman" w:hAnsi="Times New Roman" w:eastAsia="宋体" w:cs="Times New Roman"/>
          <w:sz w:val="24"/>
          <w:szCs w:val="24"/>
        </w:rPr>
        <w:t>人、副高</w:t>
      </w:r>
      <w:r>
        <w:rPr>
          <w:rFonts w:hint="default" w:ascii="Times New Roman" w:hAnsi="Times New Roman" w:eastAsia="宋体" w:cs="Times New Roman"/>
          <w:sz w:val="24"/>
          <w:szCs w:val="24"/>
          <w:lang w:val="en-US" w:eastAsia="zh-CN"/>
        </w:rPr>
        <w:t>2</w:t>
      </w:r>
      <w:r>
        <w:rPr>
          <w:rFonts w:hint="default" w:ascii="Times New Roman" w:hAnsi="Times New Roman" w:eastAsia="宋体" w:cs="Times New Roman"/>
          <w:sz w:val="24"/>
          <w:szCs w:val="24"/>
        </w:rPr>
        <w:t>人），</w:t>
      </w:r>
      <w:r>
        <w:rPr>
          <w:rFonts w:hint="default" w:ascii="Times New Roman" w:hAnsi="Times New Roman" w:eastAsia="宋体" w:cs="Times New Roman"/>
          <w:sz w:val="24"/>
          <w:szCs w:val="24"/>
          <w:lang w:val="en-US" w:eastAsia="zh-CN"/>
        </w:rPr>
        <w:t>中级职称28</w:t>
      </w:r>
      <w:r>
        <w:rPr>
          <w:rFonts w:hint="default" w:ascii="Times New Roman" w:hAnsi="Times New Roman" w:eastAsia="宋体" w:cs="Times New Roman"/>
          <w:sz w:val="24"/>
          <w:szCs w:val="24"/>
        </w:rPr>
        <w:t>人。</w:t>
      </w:r>
    </w:p>
    <w:p w14:paraId="7E6B23D0">
      <w:pPr>
        <w:keepNext w:val="0"/>
        <w:keepLines w:val="0"/>
        <w:pageBreakBefore w:val="0"/>
        <w:kinsoku/>
        <w:wordWrap/>
        <w:overflowPunct/>
        <w:topLinePunct w:val="0"/>
        <w:autoSpaceDE/>
        <w:autoSpaceDN/>
        <w:bidi w:val="0"/>
        <w:adjustRightInd/>
        <w:snapToGrid/>
        <w:spacing w:before="180" w:beforeAutospacing="0" w:afterAutospacing="0" w:line="360" w:lineRule="auto"/>
        <w:ind w:firstLine="480" w:firstLineChars="200"/>
        <w:textAlignment w:val="auto"/>
        <w:rPr>
          <w:rFonts w:hint="default" w:ascii="Times New Roman" w:hAnsi="Times New Roman" w:eastAsia="宋体" w:cs="Times New Roman"/>
          <w:b w:val="0"/>
          <w:bCs/>
          <w:i w:val="0"/>
          <w:iCs w:val="0"/>
          <w:caps w:val="0"/>
          <w:color w:val="191919"/>
          <w:spacing w:val="0"/>
          <w:sz w:val="24"/>
          <w:szCs w:val="24"/>
          <w:shd w:val="clear" w:color="auto" w:fill="FFFFFF"/>
          <w:lang w:val="en-US" w:eastAsia="zh-CN"/>
        </w:rPr>
      </w:pPr>
      <w:r>
        <w:rPr>
          <w:rFonts w:hint="eastAsia" w:ascii="宋体" w:hAnsi="宋体" w:eastAsia="宋体" w:cs="宋体"/>
          <w:color w:val="auto"/>
          <w:kern w:val="0"/>
          <w:sz w:val="24"/>
          <w:szCs w:val="24"/>
        </w:rPr>
        <w:t>【</w:t>
      </w:r>
      <w:r>
        <w:rPr>
          <w:rFonts w:hint="eastAsia" w:ascii="宋体" w:hAnsi="宋体" w:eastAsia="宋体" w:cs="宋体"/>
          <w:color w:val="auto"/>
          <w:kern w:val="0"/>
          <w:sz w:val="24"/>
          <w:szCs w:val="24"/>
          <w:lang w:val="en-US" w:eastAsia="zh-CN"/>
        </w:rPr>
        <w:t>常见病种</w:t>
      </w:r>
      <w:r>
        <w:rPr>
          <w:rFonts w:hint="eastAsia" w:ascii="宋体" w:hAnsi="宋体" w:eastAsia="宋体" w:cs="宋体"/>
          <w:color w:val="auto"/>
          <w:kern w:val="0"/>
          <w:sz w:val="24"/>
          <w:szCs w:val="24"/>
        </w:rPr>
        <w:t>】</w:t>
      </w:r>
    </w:p>
    <w:p w14:paraId="02F97276">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both"/>
        <w:textAlignment w:val="auto"/>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重症肺炎：约500例/年；</w:t>
      </w:r>
    </w:p>
    <w:p w14:paraId="324C7AFC">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left="0" w:firstLine="480" w:firstLineChars="200"/>
        <w:jc w:val="both"/>
        <w:textAlignment w:val="auto"/>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脓毒症：约400例/年。</w:t>
      </w:r>
    </w:p>
    <w:p w14:paraId="50DBC37A">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76" w:firstLineChars="200"/>
        <w:jc w:val="left"/>
        <w:textAlignment w:val="auto"/>
        <w:rPr>
          <w:rFonts w:hint="default" w:ascii="Times New Roman" w:hAnsi="Times New Roman" w:eastAsia="宋体" w:cs="Times New Roman"/>
        </w:rPr>
      </w:pPr>
      <w:r>
        <w:rPr>
          <w:rFonts w:hint="eastAsia" w:ascii="宋体" w:hAnsi="宋体" w:eastAsia="宋体" w:cs="宋体"/>
          <w:spacing w:val="-1"/>
          <w:kern w:val="2"/>
          <w:sz w:val="24"/>
          <w:szCs w:val="24"/>
          <w:lang w:eastAsia="zh-CN"/>
        </w:rPr>
        <w:t>【</w:t>
      </w:r>
      <w:r>
        <w:rPr>
          <w:rFonts w:hint="eastAsia" w:ascii="宋体" w:hAnsi="宋体" w:eastAsia="宋体" w:cs="宋体"/>
          <w:spacing w:val="-1"/>
          <w:kern w:val="2"/>
          <w:sz w:val="24"/>
          <w:szCs w:val="24"/>
          <w:lang w:val="en-US" w:eastAsia="zh-CN"/>
        </w:rPr>
        <w:t>主要研究者信息</w:t>
      </w:r>
      <w:r>
        <w:rPr>
          <w:rFonts w:hint="eastAsia" w:ascii="宋体" w:hAnsi="宋体" w:eastAsia="宋体" w:cs="宋体"/>
          <w:spacing w:val="-1"/>
          <w:kern w:val="2"/>
          <w:sz w:val="24"/>
          <w:szCs w:val="24"/>
          <w:lang w:eastAsia="zh-CN"/>
        </w:rPr>
        <w:t>】</w:t>
      </w:r>
    </w:p>
    <w:p w14:paraId="0E2B9A88">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jc w:val="center"/>
        <w:textAlignment w:val="auto"/>
        <w:rPr>
          <w:rFonts w:hint="default" w:ascii="Times New Roman" w:hAnsi="Times New Roman" w:eastAsia="宋体" w:cs="Times New Roman"/>
          <w:lang w:eastAsia="zh-CN"/>
        </w:rPr>
      </w:pPr>
      <w:r>
        <w:rPr>
          <w:rFonts w:hint="default" w:ascii="Times New Roman" w:hAnsi="Times New Roman" w:eastAsia="宋体" w:cs="Times New Roman"/>
          <w:lang w:eastAsia="zh-CN"/>
        </w:rPr>
        <w:drawing>
          <wp:inline distT="0" distB="0" distL="114300" distR="114300">
            <wp:extent cx="1611630" cy="2319020"/>
            <wp:effectExtent l="0" t="0" r="1270" b="5080"/>
            <wp:docPr id="1" name="图片 1" descr="d2f382c5a843b30a175bdaa0eec1aeb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2f382c5a843b30a175bdaa0eec1aeb7"/>
                    <pic:cNvPicPr>
                      <a:picLocks noChangeAspect="1"/>
                    </pic:cNvPicPr>
                  </pic:nvPicPr>
                  <pic:blipFill>
                    <a:blip r:embed="rId4"/>
                    <a:stretch>
                      <a:fillRect/>
                    </a:stretch>
                  </pic:blipFill>
                  <pic:spPr>
                    <a:xfrm>
                      <a:off x="0" y="0"/>
                      <a:ext cx="1611630" cy="2319020"/>
                    </a:xfrm>
                    <a:prstGeom prst="rect">
                      <a:avLst/>
                    </a:prstGeom>
                  </pic:spPr>
                </pic:pic>
              </a:graphicData>
            </a:graphic>
          </wp:inline>
        </w:drawing>
      </w:r>
    </w:p>
    <w:p w14:paraId="2165E09C">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jc w:val="center"/>
        <w:textAlignment w:val="auto"/>
        <w:rPr>
          <w:rFonts w:hint="default" w:ascii="Times New Roman" w:hAnsi="Times New Roman" w:eastAsia="宋体" w:cs="Times New Roman"/>
          <w:b w:val="0"/>
          <w:bCs/>
        </w:rPr>
      </w:pPr>
      <w:r>
        <w:rPr>
          <w:rStyle w:val="7"/>
          <w:rFonts w:hint="default" w:ascii="Times New Roman" w:hAnsi="Times New Roman" w:eastAsia="宋体" w:cs="Times New Roman"/>
          <w:b w:val="0"/>
          <w:bCs/>
          <w:sz w:val="24"/>
          <w:szCs w:val="24"/>
        </w:rPr>
        <w:t>姓名：</w:t>
      </w:r>
      <w:r>
        <w:rPr>
          <w:rStyle w:val="7"/>
          <w:rFonts w:hint="default" w:ascii="Times New Roman" w:hAnsi="Times New Roman" w:eastAsia="宋体" w:cs="Times New Roman"/>
          <w:b w:val="0"/>
          <w:bCs/>
          <w:sz w:val="24"/>
          <w:szCs w:val="24"/>
          <w:lang w:val="en-US" w:eastAsia="zh-CN"/>
        </w:rPr>
        <w:t>王磊</w:t>
      </w:r>
      <w:r>
        <w:rPr>
          <w:rStyle w:val="7"/>
          <w:rFonts w:hint="eastAsia" w:ascii="Times New Roman" w:hAnsi="Times New Roman" w:eastAsia="宋体" w:cs="Times New Roman"/>
          <w:b w:val="0"/>
          <w:bCs/>
          <w:sz w:val="24"/>
          <w:szCs w:val="24"/>
          <w:lang w:val="en-US" w:eastAsia="zh-CN"/>
        </w:rPr>
        <w:t xml:space="preserve">   </w:t>
      </w:r>
      <w:r>
        <w:rPr>
          <w:rStyle w:val="7"/>
          <w:rFonts w:hint="default" w:ascii="Times New Roman" w:hAnsi="Times New Roman" w:eastAsia="宋体" w:cs="Times New Roman"/>
          <w:b w:val="0"/>
          <w:bCs/>
          <w:sz w:val="24"/>
          <w:szCs w:val="24"/>
        </w:rPr>
        <w:t>职务：科室主任</w:t>
      </w:r>
      <w:r>
        <w:rPr>
          <w:rStyle w:val="7"/>
          <w:rFonts w:hint="eastAsia" w:ascii="Times New Roman" w:hAnsi="Times New Roman" w:eastAsia="宋体" w:cs="Times New Roman"/>
          <w:b w:val="0"/>
          <w:bCs/>
          <w:sz w:val="24"/>
          <w:szCs w:val="24"/>
          <w:lang w:val="en-US" w:eastAsia="zh-CN"/>
        </w:rPr>
        <w:t xml:space="preserve">   </w:t>
      </w:r>
      <w:r>
        <w:rPr>
          <w:rStyle w:val="7"/>
          <w:rFonts w:hint="default" w:ascii="Times New Roman" w:hAnsi="Times New Roman" w:eastAsia="宋体" w:cs="Times New Roman"/>
          <w:b w:val="0"/>
          <w:bCs/>
          <w:sz w:val="24"/>
          <w:szCs w:val="24"/>
        </w:rPr>
        <w:t>职称：主任医师</w:t>
      </w:r>
    </w:p>
    <w:p w14:paraId="21F82DC1">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eastAsia="宋体" w:cs="Times New Roman"/>
        </w:rPr>
      </w:pPr>
      <w:r>
        <w:rPr>
          <w:rFonts w:hint="default" w:ascii="Times New Roman" w:hAnsi="Times New Roman" w:eastAsia="宋体" w:cs="Times New Roman"/>
        </w:rPr>
        <w:t>个人简介：</w:t>
      </w:r>
      <w:r>
        <w:rPr>
          <w:rFonts w:hint="default" w:ascii="Times New Roman" w:hAnsi="Times New Roman" w:eastAsia="宋体" w:cs="Times New Roman"/>
          <w:sz w:val="24"/>
          <w:szCs w:val="24"/>
          <w:lang w:val="en-US" w:eastAsia="zh-CN"/>
        </w:rPr>
        <w:t>王磊，主任医师，教授，主要从事血流动力学及体外生命支持、重症早期康复、重症超声、重症感染及院感防控、老年重症与慢重症等工作。参与科技部立项1项，主持市厅级科研重点课题1项，市级资助课题2项，以第一作者或通讯作者发表SCI累计影响因子17.5。</w:t>
      </w:r>
    </w:p>
    <w:p w14:paraId="7B081896">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textAlignment w:val="auto"/>
        <w:rPr>
          <w:rFonts w:hint="default" w:ascii="Times New Roman" w:hAnsi="Times New Roman" w:eastAsia="宋体" w:cs="Times New Roman"/>
        </w:rPr>
      </w:pPr>
      <w:r>
        <w:rPr>
          <w:rFonts w:hint="default" w:ascii="Times New Roman" w:hAnsi="Times New Roman" w:eastAsia="宋体" w:cs="Times New Roman"/>
          <w:sz w:val="24"/>
          <w:szCs w:val="24"/>
        </w:rPr>
        <w:t>主要研究方向（意向承接试验专业方向或病种）：</w:t>
      </w:r>
      <w:r>
        <w:rPr>
          <w:rFonts w:hint="default" w:ascii="Times New Roman" w:hAnsi="Times New Roman" w:eastAsia="宋体" w:cs="Times New Roman"/>
          <w:sz w:val="24"/>
          <w:lang w:val="en-US" w:eastAsia="zh-CN"/>
        </w:rPr>
        <w:t>老年脓毒症与慢重症</w:t>
      </w:r>
      <w:r>
        <w:rPr>
          <w:rFonts w:hint="eastAsia" w:ascii="Times New Roman" w:hAnsi="Times New Roman" w:eastAsia="宋体" w:cs="Times New Roman"/>
          <w:sz w:val="24"/>
          <w:lang w:val="en-US" w:eastAsia="zh-CN"/>
        </w:rPr>
        <w:t>。</w:t>
      </w:r>
    </w:p>
    <w:p w14:paraId="18E285A1">
      <w:pPr>
        <w:keepNext w:val="0"/>
        <w:keepLines w:val="0"/>
        <w:pageBreakBefore w:val="0"/>
        <w:widowControl/>
        <w:kinsoku/>
        <w:wordWrap/>
        <w:overflowPunct/>
        <w:topLinePunct w:val="0"/>
        <w:autoSpaceDE/>
        <w:autoSpaceDN/>
        <w:bidi w:val="0"/>
        <w:adjustRightInd/>
        <w:snapToGrid/>
        <w:spacing w:before="180" w:beforeAutospacing="0" w:after="180" w:afterAutospacing="0" w:line="360" w:lineRule="auto"/>
        <w:ind w:firstLine="480" w:firstLineChars="200"/>
        <w:jc w:val="left"/>
        <w:textAlignment w:val="auto"/>
        <w:rPr>
          <w:rFonts w:hint="default" w:ascii="Times New Roman" w:hAnsi="Times New Roman" w:eastAsia="宋体" w:cs="Times New Roman"/>
          <w:b/>
          <w:bCs/>
          <w:color w:val="000000"/>
          <w:w w:val="90"/>
          <w:sz w:val="24"/>
          <w:szCs w:val="24"/>
        </w:rPr>
      </w:pPr>
      <w:r>
        <w:rPr>
          <w:rFonts w:hint="default" w:ascii="Times New Roman" w:hAnsi="Times New Roman" w:eastAsia="宋体" w:cs="Times New Roman"/>
          <w:sz w:val="24"/>
          <w:szCs w:val="24"/>
          <w:lang w:val="en-US" w:eastAsia="zh-CN"/>
        </w:rPr>
        <w:t>【参与研究】</w:t>
      </w:r>
    </w:p>
    <w:tbl>
      <w:tblPr>
        <w:tblStyle w:val="4"/>
        <w:tblW w:w="907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869"/>
        <w:gridCol w:w="6495"/>
        <w:gridCol w:w="1706"/>
      </w:tblGrid>
      <w:tr w14:paraId="3D59CB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tblCellSpacing w:w="0" w:type="dxa"/>
          <w:jc w:val="center"/>
        </w:trPr>
        <w:tc>
          <w:tcPr>
            <w:tcW w:w="869" w:type="dxa"/>
            <w:tcBorders>
              <w:top w:val="single" w:color="auto" w:sz="6" w:space="0"/>
              <w:left w:val="single" w:color="auto" w:sz="6" w:space="0"/>
              <w:bottom w:val="single" w:color="auto" w:sz="6" w:space="0"/>
              <w:right w:val="single" w:color="auto" w:sz="6" w:space="0"/>
            </w:tcBorders>
            <w:shd w:val="clear" w:color="auto" w:fill="auto"/>
            <w:noWrap/>
            <w:tcMar>
              <w:left w:w="105" w:type="dxa"/>
              <w:right w:w="105" w:type="dxa"/>
            </w:tcMar>
            <w:vAlign w:val="center"/>
          </w:tcPr>
          <w:p w14:paraId="7CEF20AC">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b/>
                <w:bCs/>
              </w:rPr>
            </w:pPr>
            <w:r>
              <w:rPr>
                <w:rFonts w:hint="default" w:ascii="Times New Roman" w:hAnsi="Times New Roman" w:eastAsia="宋体" w:cs="Times New Roman"/>
                <w:b/>
                <w:bCs/>
                <w:color w:val="000000"/>
                <w:sz w:val="24"/>
                <w:szCs w:val="24"/>
              </w:rPr>
              <w:t>No.</w:t>
            </w:r>
          </w:p>
        </w:tc>
        <w:tc>
          <w:tcPr>
            <w:tcW w:w="6495"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43BBA72">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b/>
                <w:bCs/>
              </w:rPr>
            </w:pPr>
            <w:r>
              <w:rPr>
                <w:rFonts w:hint="default" w:ascii="Times New Roman" w:hAnsi="Times New Roman" w:eastAsia="宋体" w:cs="Times New Roman"/>
                <w:b/>
                <w:bCs/>
                <w:color w:val="000000"/>
                <w:sz w:val="24"/>
                <w:szCs w:val="24"/>
              </w:rPr>
              <w:t>项目名称</w:t>
            </w:r>
          </w:p>
        </w:tc>
        <w:tc>
          <w:tcPr>
            <w:tcW w:w="1706"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39E25AE6">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eastAsia" w:ascii="Times New Roman" w:hAnsi="Times New Roman" w:eastAsia="宋体" w:cs="Times New Roman"/>
                <w:b/>
                <w:bCs/>
                <w:color w:val="000000"/>
                <w:sz w:val="24"/>
                <w:szCs w:val="24"/>
                <w:lang w:val="en-US" w:eastAsia="zh-CN"/>
              </w:rPr>
            </w:pPr>
            <w:r>
              <w:rPr>
                <w:rFonts w:hint="eastAsia" w:ascii="Times New Roman" w:hAnsi="Times New Roman" w:eastAsia="宋体" w:cs="Times New Roman"/>
                <w:b/>
                <w:bCs/>
                <w:color w:val="000000"/>
                <w:sz w:val="24"/>
                <w:szCs w:val="24"/>
                <w:lang w:val="en-US" w:eastAsia="zh-CN"/>
              </w:rPr>
              <w:t>备注</w:t>
            </w:r>
          </w:p>
        </w:tc>
      </w:tr>
      <w:tr w14:paraId="116BC3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tblCellSpacing w:w="0" w:type="dxa"/>
          <w:jc w:val="center"/>
        </w:trPr>
        <w:tc>
          <w:tcPr>
            <w:tcW w:w="869"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0B4EDE5D">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b w:val="0"/>
                <w:bCs w:val="0"/>
              </w:rPr>
            </w:pPr>
            <w:r>
              <w:rPr>
                <w:rFonts w:hint="default" w:ascii="Times New Roman" w:hAnsi="Times New Roman" w:eastAsia="宋体" w:cs="Times New Roman"/>
                <w:b w:val="0"/>
                <w:bCs w:val="0"/>
                <w:color w:val="000000"/>
                <w:sz w:val="24"/>
                <w:szCs w:val="24"/>
              </w:rPr>
              <w:t>1</w:t>
            </w:r>
          </w:p>
        </w:tc>
        <w:tc>
          <w:tcPr>
            <w:tcW w:w="6495" w:type="dxa"/>
            <w:tcBorders>
              <w:top w:val="nil"/>
              <w:left w:val="nil"/>
              <w:bottom w:val="single" w:color="auto" w:sz="6" w:space="0"/>
              <w:right w:val="single" w:color="auto" w:sz="6" w:space="0"/>
            </w:tcBorders>
            <w:shd w:val="clear" w:color="auto" w:fill="auto"/>
            <w:tcMar>
              <w:left w:w="105" w:type="dxa"/>
              <w:right w:w="105" w:type="dxa"/>
            </w:tcMar>
            <w:vAlign w:val="center"/>
          </w:tcPr>
          <w:p w14:paraId="3A42117E">
            <w:pPr>
              <w:spacing w:line="360" w:lineRule="auto"/>
              <w:jc w:val="center"/>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lang w:val="en-US" w:eastAsia="zh-CN"/>
              </w:rPr>
              <w:t>血必净注射液治疗新型冠状病毒感染的肺炎疗效的前瞻性队列研究</w:t>
            </w:r>
          </w:p>
        </w:tc>
        <w:tc>
          <w:tcPr>
            <w:tcW w:w="1706" w:type="dxa"/>
            <w:tcBorders>
              <w:top w:val="nil"/>
              <w:left w:val="nil"/>
              <w:bottom w:val="single" w:color="auto" w:sz="6" w:space="0"/>
              <w:right w:val="single" w:color="auto" w:sz="6" w:space="0"/>
            </w:tcBorders>
            <w:shd w:val="clear" w:color="auto" w:fill="auto"/>
            <w:tcMar>
              <w:left w:w="105" w:type="dxa"/>
              <w:right w:w="105" w:type="dxa"/>
            </w:tcMar>
            <w:vAlign w:val="center"/>
          </w:tcPr>
          <w:p w14:paraId="72743A4E">
            <w:pPr>
              <w:spacing w:line="360" w:lineRule="auto"/>
              <w:jc w:val="center"/>
              <w:rPr>
                <w:rFonts w:hint="default" w:ascii="Times New Roman" w:hAnsi="Times New Roman" w:eastAsia="宋体" w:cs="Times New Roman"/>
                <w:b w:val="0"/>
                <w:bCs w:val="0"/>
                <w:sz w:val="24"/>
                <w:szCs w:val="24"/>
                <w:lang w:val="en-US" w:eastAsia="zh-CN"/>
              </w:rPr>
            </w:pPr>
          </w:p>
        </w:tc>
      </w:tr>
      <w:tr w14:paraId="48AFEF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tblCellSpacing w:w="0" w:type="dxa"/>
          <w:jc w:val="center"/>
        </w:trPr>
        <w:tc>
          <w:tcPr>
            <w:tcW w:w="869"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693A3113">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b w:val="0"/>
                <w:bCs w:val="0"/>
              </w:rPr>
            </w:pPr>
            <w:r>
              <w:rPr>
                <w:rFonts w:hint="default" w:ascii="Times New Roman" w:hAnsi="Times New Roman" w:eastAsia="宋体" w:cs="Times New Roman"/>
                <w:b w:val="0"/>
                <w:bCs w:val="0"/>
                <w:color w:val="000000"/>
                <w:sz w:val="24"/>
                <w:szCs w:val="24"/>
              </w:rPr>
              <w:t>2</w:t>
            </w:r>
          </w:p>
        </w:tc>
        <w:tc>
          <w:tcPr>
            <w:tcW w:w="6495" w:type="dxa"/>
            <w:tcBorders>
              <w:top w:val="nil"/>
              <w:left w:val="nil"/>
              <w:bottom w:val="single" w:color="auto" w:sz="6" w:space="0"/>
              <w:right w:val="single" w:color="auto" w:sz="6" w:space="0"/>
            </w:tcBorders>
            <w:shd w:val="clear" w:color="auto" w:fill="auto"/>
            <w:tcMar>
              <w:left w:w="105" w:type="dxa"/>
              <w:right w:w="105" w:type="dxa"/>
            </w:tcMar>
            <w:vAlign w:val="center"/>
          </w:tcPr>
          <w:p w14:paraId="172A874F">
            <w:pPr>
              <w:spacing w:line="360" w:lineRule="auto"/>
              <w:jc w:val="center"/>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一项在急性缺血性脑卒中（AIS）受试者中评价注射用LT3001 的安全性和有效性的多中心、随机、双盲、安慰剂平行对照的II 期临床研究</w:t>
            </w:r>
          </w:p>
        </w:tc>
        <w:tc>
          <w:tcPr>
            <w:tcW w:w="1706" w:type="dxa"/>
            <w:tcBorders>
              <w:top w:val="nil"/>
              <w:left w:val="nil"/>
              <w:bottom w:val="single" w:color="auto" w:sz="6" w:space="0"/>
              <w:right w:val="single" w:color="auto" w:sz="6" w:space="0"/>
            </w:tcBorders>
            <w:shd w:val="clear" w:color="auto" w:fill="auto"/>
            <w:tcMar>
              <w:left w:w="105" w:type="dxa"/>
              <w:right w:w="105" w:type="dxa"/>
            </w:tcMar>
            <w:vAlign w:val="center"/>
          </w:tcPr>
          <w:p w14:paraId="29CF15B3">
            <w:pPr>
              <w:spacing w:line="360" w:lineRule="auto"/>
              <w:jc w:val="center"/>
              <w:rPr>
                <w:rFonts w:hint="default" w:ascii="Times New Roman" w:hAnsi="Times New Roman" w:eastAsia="宋体" w:cs="Times New Roman"/>
                <w:b w:val="0"/>
                <w:bCs w:val="0"/>
                <w:sz w:val="24"/>
                <w:szCs w:val="24"/>
              </w:rPr>
            </w:pPr>
          </w:p>
        </w:tc>
      </w:tr>
      <w:tr w14:paraId="4B8FF2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50" w:hRule="atLeast"/>
          <w:tblCellSpacing w:w="0" w:type="dxa"/>
          <w:jc w:val="center"/>
        </w:trPr>
        <w:tc>
          <w:tcPr>
            <w:tcW w:w="869"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5248908C">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b w:val="0"/>
                <w:bCs w:val="0"/>
              </w:rPr>
            </w:pPr>
            <w:r>
              <w:rPr>
                <w:rFonts w:hint="default" w:ascii="Times New Roman" w:hAnsi="Times New Roman" w:eastAsia="宋体" w:cs="Times New Roman"/>
                <w:b w:val="0"/>
                <w:bCs w:val="0"/>
                <w:color w:val="000000"/>
                <w:sz w:val="24"/>
                <w:szCs w:val="24"/>
              </w:rPr>
              <w:t>3</w:t>
            </w:r>
          </w:p>
        </w:tc>
        <w:tc>
          <w:tcPr>
            <w:tcW w:w="6495" w:type="dxa"/>
            <w:tcBorders>
              <w:top w:val="nil"/>
              <w:left w:val="nil"/>
              <w:bottom w:val="single" w:color="auto" w:sz="6" w:space="0"/>
              <w:right w:val="single" w:color="auto" w:sz="6" w:space="0"/>
            </w:tcBorders>
            <w:shd w:val="clear" w:color="auto" w:fill="auto"/>
            <w:tcMar>
              <w:left w:w="105" w:type="dxa"/>
              <w:right w:w="105" w:type="dxa"/>
            </w:tcMar>
            <w:vAlign w:val="center"/>
          </w:tcPr>
          <w:p w14:paraId="6F8A0676">
            <w:pPr>
              <w:spacing w:line="360" w:lineRule="auto"/>
              <w:jc w:val="center"/>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一项评估注射用亚胺培南/西司他丁-XNW4107与亚胺培南/西司他丁/瑞来巴坦相比治疗成人医院获得性细菌性肺炎或呼吸机相关细菌性肺炎的有效性和安全性的多中心，随机，双盲，对照的III期临床研究</w:t>
            </w:r>
          </w:p>
        </w:tc>
        <w:tc>
          <w:tcPr>
            <w:tcW w:w="1706" w:type="dxa"/>
            <w:tcBorders>
              <w:top w:val="nil"/>
              <w:left w:val="nil"/>
              <w:bottom w:val="single" w:color="auto" w:sz="6" w:space="0"/>
              <w:right w:val="single" w:color="auto" w:sz="6" w:space="0"/>
            </w:tcBorders>
            <w:shd w:val="clear" w:color="auto" w:fill="auto"/>
            <w:tcMar>
              <w:left w:w="105" w:type="dxa"/>
              <w:right w:w="105" w:type="dxa"/>
            </w:tcMar>
            <w:vAlign w:val="center"/>
          </w:tcPr>
          <w:p w14:paraId="4E6FC017">
            <w:pPr>
              <w:spacing w:line="360" w:lineRule="auto"/>
              <w:jc w:val="center"/>
              <w:rPr>
                <w:rFonts w:hint="default" w:ascii="Times New Roman" w:hAnsi="Times New Roman" w:eastAsia="宋体" w:cs="Times New Roman"/>
                <w:b w:val="0"/>
                <w:bCs w:val="0"/>
                <w:sz w:val="24"/>
                <w:szCs w:val="24"/>
                <w:lang w:val="en-US" w:eastAsia="zh-CN"/>
              </w:rPr>
            </w:pPr>
            <w:r>
              <w:rPr>
                <w:rFonts w:hint="eastAsia" w:ascii="Times New Roman" w:hAnsi="Times New Roman" w:eastAsia="宋体" w:cs="Times New Roman"/>
                <w:b w:val="0"/>
                <w:bCs w:val="0"/>
                <w:sz w:val="24"/>
                <w:szCs w:val="24"/>
                <w:lang w:val="en-US" w:eastAsia="zh-CN"/>
              </w:rPr>
              <w:t>入组：6例</w:t>
            </w:r>
          </w:p>
        </w:tc>
      </w:tr>
      <w:tr w14:paraId="3477A7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tblCellSpacing w:w="0" w:type="dxa"/>
          <w:jc w:val="center"/>
        </w:trPr>
        <w:tc>
          <w:tcPr>
            <w:tcW w:w="869" w:type="dxa"/>
            <w:tcBorders>
              <w:top w:val="nil"/>
              <w:left w:val="single" w:color="auto" w:sz="6" w:space="0"/>
              <w:bottom w:val="nil"/>
              <w:right w:val="single" w:color="auto" w:sz="6" w:space="0"/>
            </w:tcBorders>
            <w:shd w:val="clear" w:color="auto" w:fill="auto"/>
            <w:noWrap/>
            <w:tcMar>
              <w:left w:w="105" w:type="dxa"/>
              <w:right w:w="105" w:type="dxa"/>
            </w:tcMar>
            <w:vAlign w:val="center"/>
          </w:tcPr>
          <w:p w14:paraId="1D5A863D">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b w:val="0"/>
                <w:bCs w:val="0"/>
              </w:rPr>
            </w:pPr>
            <w:r>
              <w:rPr>
                <w:rFonts w:hint="default" w:ascii="Times New Roman" w:hAnsi="Times New Roman" w:eastAsia="宋体" w:cs="Times New Roman"/>
                <w:b w:val="0"/>
                <w:bCs w:val="0"/>
                <w:color w:val="000000"/>
                <w:sz w:val="24"/>
                <w:szCs w:val="24"/>
              </w:rPr>
              <w:t>4</w:t>
            </w:r>
          </w:p>
        </w:tc>
        <w:tc>
          <w:tcPr>
            <w:tcW w:w="6495" w:type="dxa"/>
            <w:tcBorders>
              <w:top w:val="nil"/>
              <w:left w:val="nil"/>
              <w:bottom w:val="nil"/>
              <w:right w:val="single" w:color="auto" w:sz="6" w:space="0"/>
            </w:tcBorders>
            <w:shd w:val="clear" w:color="auto" w:fill="auto"/>
            <w:tcMar>
              <w:left w:w="105" w:type="dxa"/>
              <w:right w:w="105" w:type="dxa"/>
            </w:tcMar>
            <w:vAlign w:val="center"/>
          </w:tcPr>
          <w:p w14:paraId="1358902B">
            <w:pPr>
              <w:spacing w:line="360" w:lineRule="auto"/>
              <w:jc w:val="center"/>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六神胶囊治疗新型冠状病毒感染（疫毒束表证）的随机、双盲、安慰剂平行对照、多中心、III期确证性临床试验</w:t>
            </w:r>
          </w:p>
        </w:tc>
        <w:tc>
          <w:tcPr>
            <w:tcW w:w="1706" w:type="dxa"/>
            <w:tcBorders>
              <w:top w:val="nil"/>
              <w:left w:val="nil"/>
              <w:bottom w:val="nil"/>
              <w:right w:val="single" w:color="auto" w:sz="6" w:space="0"/>
            </w:tcBorders>
            <w:shd w:val="clear" w:color="auto" w:fill="auto"/>
            <w:tcMar>
              <w:left w:w="105" w:type="dxa"/>
              <w:right w:w="105" w:type="dxa"/>
            </w:tcMar>
            <w:vAlign w:val="center"/>
          </w:tcPr>
          <w:p w14:paraId="76173E70">
            <w:pPr>
              <w:spacing w:line="360" w:lineRule="auto"/>
              <w:jc w:val="center"/>
              <w:rPr>
                <w:rFonts w:hint="default" w:ascii="Times New Roman" w:hAnsi="Times New Roman" w:eastAsia="宋体" w:cs="Times New Roman"/>
                <w:b w:val="0"/>
                <w:bCs w:val="0"/>
                <w:sz w:val="24"/>
                <w:szCs w:val="24"/>
                <w:lang w:val="en-US" w:eastAsia="zh-CN"/>
              </w:rPr>
            </w:pPr>
            <w:r>
              <w:rPr>
                <w:rFonts w:hint="eastAsia" w:ascii="Times New Roman" w:hAnsi="Times New Roman" w:eastAsia="宋体" w:cs="Times New Roman"/>
                <w:b w:val="0"/>
                <w:bCs w:val="0"/>
                <w:sz w:val="24"/>
                <w:szCs w:val="24"/>
                <w:lang w:val="en-US" w:eastAsia="zh-CN"/>
              </w:rPr>
              <w:t>入组：13例</w:t>
            </w:r>
          </w:p>
        </w:tc>
      </w:tr>
      <w:tr w14:paraId="7661B6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tblCellSpacing w:w="0" w:type="dxa"/>
          <w:jc w:val="center"/>
        </w:trPr>
        <w:tc>
          <w:tcPr>
            <w:tcW w:w="869" w:type="dxa"/>
            <w:tcBorders>
              <w:top w:val="single" w:color="auto" w:sz="4" w:space="0"/>
              <w:left w:val="single" w:color="auto" w:sz="4" w:space="0"/>
              <w:bottom w:val="single" w:color="auto" w:sz="4" w:space="0"/>
              <w:right w:val="single" w:color="auto" w:sz="6" w:space="0"/>
            </w:tcBorders>
            <w:shd w:val="clear" w:color="auto" w:fill="auto"/>
            <w:noWrap/>
            <w:tcMar>
              <w:left w:w="105" w:type="dxa"/>
              <w:right w:w="105" w:type="dxa"/>
            </w:tcMar>
            <w:vAlign w:val="center"/>
          </w:tcPr>
          <w:p w14:paraId="48FA1788">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b w:val="0"/>
                <w:bCs w:val="0"/>
                <w:color w:val="000000"/>
                <w:sz w:val="24"/>
                <w:szCs w:val="24"/>
                <w:lang w:val="en-US" w:eastAsia="zh-CN"/>
              </w:rPr>
            </w:pPr>
            <w:r>
              <w:rPr>
                <w:rFonts w:hint="default" w:ascii="Times New Roman" w:hAnsi="Times New Roman" w:eastAsia="宋体" w:cs="Times New Roman"/>
                <w:b w:val="0"/>
                <w:bCs w:val="0"/>
                <w:color w:val="000000"/>
                <w:sz w:val="24"/>
                <w:szCs w:val="24"/>
                <w:lang w:val="en-US" w:eastAsia="zh-CN"/>
              </w:rPr>
              <w:t>5</w:t>
            </w:r>
          </w:p>
        </w:tc>
        <w:tc>
          <w:tcPr>
            <w:tcW w:w="6495" w:type="dxa"/>
            <w:tcBorders>
              <w:top w:val="single" w:color="auto" w:sz="4" w:space="0"/>
              <w:left w:val="nil"/>
              <w:bottom w:val="single" w:color="auto" w:sz="4" w:space="0"/>
              <w:right w:val="single" w:color="auto" w:sz="4" w:space="0"/>
            </w:tcBorders>
            <w:shd w:val="clear" w:color="auto" w:fill="auto"/>
            <w:tcMar>
              <w:left w:w="105" w:type="dxa"/>
              <w:right w:w="105" w:type="dxa"/>
            </w:tcMar>
            <w:vAlign w:val="center"/>
          </w:tcPr>
          <w:p w14:paraId="6BAE6197">
            <w:pPr>
              <w:spacing w:line="360" w:lineRule="auto"/>
              <w:jc w:val="center"/>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lang w:val="en-US" w:eastAsia="zh-CN"/>
              </w:rPr>
              <w:t>重症中暑/脓毒症炎症-凝血失调核心机制和诊治方案的创新研究</w:t>
            </w:r>
          </w:p>
        </w:tc>
        <w:tc>
          <w:tcPr>
            <w:tcW w:w="1706" w:type="dxa"/>
            <w:tcBorders>
              <w:top w:val="single" w:color="auto" w:sz="4" w:space="0"/>
              <w:left w:val="nil"/>
              <w:bottom w:val="single" w:color="auto" w:sz="4" w:space="0"/>
              <w:right w:val="single" w:color="auto" w:sz="4" w:space="0"/>
            </w:tcBorders>
            <w:shd w:val="clear" w:color="auto" w:fill="auto"/>
            <w:tcMar>
              <w:left w:w="105" w:type="dxa"/>
              <w:right w:w="105" w:type="dxa"/>
            </w:tcMar>
            <w:vAlign w:val="center"/>
          </w:tcPr>
          <w:p w14:paraId="1EF32060">
            <w:pPr>
              <w:spacing w:line="360" w:lineRule="auto"/>
              <w:jc w:val="center"/>
              <w:rPr>
                <w:rFonts w:hint="default" w:ascii="Times New Roman" w:hAnsi="Times New Roman" w:eastAsia="宋体" w:cs="Times New Roman"/>
                <w:b w:val="0"/>
                <w:bCs w:val="0"/>
                <w:sz w:val="24"/>
                <w:szCs w:val="24"/>
                <w:lang w:val="en-US" w:eastAsia="zh-CN"/>
              </w:rPr>
            </w:pPr>
          </w:p>
        </w:tc>
      </w:tr>
    </w:tbl>
    <w:p w14:paraId="26B87290">
      <w:pPr>
        <w:keepNext w:val="0"/>
        <w:keepLines w:val="0"/>
        <w:pageBreakBefore w:val="0"/>
        <w:kinsoku/>
        <w:wordWrap/>
        <w:overflowPunct/>
        <w:topLinePunct w:val="0"/>
        <w:autoSpaceDE/>
        <w:autoSpaceDN/>
        <w:bidi w:val="0"/>
        <w:adjustRightInd/>
        <w:snapToGrid/>
        <w:spacing w:beforeAutospacing="0" w:afterAutospacing="0" w:line="360" w:lineRule="auto"/>
        <w:ind w:firstLine="0" w:firstLineChars="0"/>
        <w:jc w:val="left"/>
        <w:textAlignment w:val="auto"/>
        <w:rPr>
          <w:rFonts w:hint="default" w:ascii="Times New Roman" w:hAnsi="Times New Roman" w:eastAsia="宋体" w:cs="Times New Roman"/>
          <w:sz w:val="24"/>
          <w:szCs w:val="24"/>
        </w:rPr>
      </w:pPr>
    </w:p>
    <w:sectPr>
      <w:pgSz w:w="11906" w:h="16838"/>
      <w:pgMar w:top="1440" w:right="1797" w:bottom="1440" w:left="179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BE2BB9"/>
    <w:rsid w:val="0AF429EF"/>
    <w:rsid w:val="0D1C2310"/>
    <w:rsid w:val="111E393A"/>
    <w:rsid w:val="126E0664"/>
    <w:rsid w:val="13837453"/>
    <w:rsid w:val="24B121FF"/>
    <w:rsid w:val="268D7140"/>
    <w:rsid w:val="27A74232"/>
    <w:rsid w:val="292E39DC"/>
    <w:rsid w:val="2BFA0FFC"/>
    <w:rsid w:val="2DF16206"/>
    <w:rsid w:val="2F432A92"/>
    <w:rsid w:val="32546E92"/>
    <w:rsid w:val="34AA215F"/>
    <w:rsid w:val="35CB3088"/>
    <w:rsid w:val="3793123B"/>
    <w:rsid w:val="38CC58A6"/>
    <w:rsid w:val="39882115"/>
    <w:rsid w:val="3A886068"/>
    <w:rsid w:val="41A35612"/>
    <w:rsid w:val="42277FF1"/>
    <w:rsid w:val="43BF695E"/>
    <w:rsid w:val="43F66C8D"/>
    <w:rsid w:val="44323F78"/>
    <w:rsid w:val="46792EF7"/>
    <w:rsid w:val="470E2DEB"/>
    <w:rsid w:val="484C3CCD"/>
    <w:rsid w:val="4A5B1180"/>
    <w:rsid w:val="51547B11"/>
    <w:rsid w:val="59FA0631"/>
    <w:rsid w:val="5AF30001"/>
    <w:rsid w:val="5BFF1759"/>
    <w:rsid w:val="6B394FA8"/>
    <w:rsid w:val="72C15774"/>
    <w:rsid w:val="79400695"/>
    <w:rsid w:val="7E6A3E76"/>
    <w:rsid w:val="7E971A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table" w:styleId="5">
    <w:name w:val="Table Grid"/>
    <w:basedOn w:val="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
    <w:name w:val="Strong"/>
    <w:basedOn w:val="6"/>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1415</Words>
  <Characters>1490</Characters>
  <Lines>0</Lines>
  <Paragraphs>0</Paragraphs>
  <TotalTime>82</TotalTime>
  <ScaleCrop>false</ScaleCrop>
  <LinksUpToDate>false</LinksUpToDate>
  <CharactersWithSpaces>1500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2024-03-07T02:28:00Z</dcterms:created>
  <dc:creator>Administrator</dc:creator>
  <cp:lastModifiedBy>李倩</cp:lastModifiedBy>
  <dcterms:modified xsi:type="dcterms:W3CDTF">2025-11-28T01:03:09Z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282BDAF022D04352B1A46E8A44F77340_13</vt:lpwstr>
  </property>
  <property fmtid="{D5CDD505-2E9C-101B-9397-08002B2CF9AE}" pid="4" name="KSOTemplateDocerSaveRecord">
    <vt:lpwstr>eyJoZGlkIjoiOWQ0YWI2NGY4YTdlODYyMzc3ZDI4NDhhMzVhNjBlNjIiLCJ1c2VySWQiOiIzMTM4MTI4NjIifQ==</vt:lpwstr>
  </property>
</Properties>
</file>