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DFF01C">
      <w:pPr>
        <w:widowControl/>
        <w:jc w:val="center"/>
        <w:rPr>
          <w:rFonts w:ascii="Times New Roman" w:hAnsi="Times New Roman" w:cs="Times New Roman"/>
          <w:b/>
          <w:bCs/>
          <w:sz w:val="32"/>
          <w:szCs w:val="32"/>
        </w:rPr>
      </w:pPr>
      <w:r>
        <w:rPr>
          <w:rFonts w:ascii="Times New Roman" w:hAnsi="Times New Roman" w:cs="Times New Roman"/>
          <w:b/>
          <w:bCs/>
          <w:sz w:val="32"/>
          <w:szCs w:val="32"/>
        </w:rPr>
        <w:t>血液内科</w:t>
      </w:r>
    </w:p>
    <w:p w14:paraId="200B5A49">
      <w:pPr>
        <w:widowControl/>
        <w:jc w:val="center"/>
        <w:rPr>
          <w:rFonts w:ascii="Times New Roman" w:hAnsi="Times New Roman" w:cs="Times New Roman"/>
          <w:b/>
          <w:bCs/>
          <w:sz w:val="32"/>
          <w:szCs w:val="32"/>
        </w:rPr>
      </w:pPr>
      <w:r>
        <w:rPr>
          <w:rFonts w:ascii="Times New Roman" w:hAnsi="Times New Roman" w:cs="Times New Roman"/>
          <w:b/>
          <w:bCs/>
          <w:sz w:val="32"/>
          <w:szCs w:val="32"/>
        </w:rPr>
        <w:t>专业介绍</w:t>
      </w:r>
    </w:p>
    <w:p w14:paraId="6E935C96">
      <w:pPr>
        <w:widowControl/>
        <w:spacing w:before="180" w:line="360" w:lineRule="auto"/>
        <w:ind w:firstLine="480" w:firstLineChars="200"/>
        <w:jc w:val="left"/>
        <w:rPr>
          <w:rFonts w:ascii="Times New Roman" w:hAnsi="Times New Roman" w:eastAsia="宋体" w:cs="Times New Roman"/>
          <w:sz w:val="24"/>
          <w:szCs w:val="24"/>
        </w:rPr>
      </w:pPr>
      <w:r>
        <w:rPr>
          <w:rFonts w:ascii="Times New Roman" w:hAnsi="Times New Roman" w:eastAsia="宋体" w:cs="Times New Roman"/>
          <w:kern w:val="0"/>
          <w:sz w:val="24"/>
          <w:szCs w:val="24"/>
        </w:rPr>
        <w:t>【科室概况】</w:t>
      </w:r>
    </w:p>
    <w:p w14:paraId="2653DDEE">
      <w:pPr>
        <w:pStyle w:val="14"/>
        <w:spacing w:before="180" w:beforeAutospacing="0" w:after="0" w:afterAutospacing="0" w:line="360" w:lineRule="auto"/>
        <w:ind w:firstLine="480" w:firstLineChars="200"/>
        <w:jc w:val="both"/>
        <w:rPr>
          <w:rFonts w:ascii="Times New Roman" w:hAnsi="Times New Roman" w:cs="Times New Roman"/>
        </w:rPr>
      </w:pPr>
      <w:r>
        <w:rPr>
          <w:rFonts w:ascii="Times New Roman" w:hAnsi="Times New Roman" w:cs="Times New Roman"/>
        </w:rPr>
        <w:t>血液内科是广东省临床重点专科、广东省血液肿瘤精准诊疗工程技术研究中心、国家血友病治疗中心、广东省血友病定点诊疗机构、粤西细胞与基因治疗技术研发中心，是粤西地区规模最大、医教研综合实力最强、临床诊疗技术达国内外先进水平的血液病专科。设置造血干细胞移植/细胞治疗亚专科、白血病亚专科、淋巴瘤/骨髓瘤亚专科、骨髓衰竭性疾病亚专科、出凝血疾病亚专科，并开设了淋巴结病及淋巴瘤专病门诊、止血与血栓专病门诊</w:t>
      </w:r>
      <w:r>
        <w:rPr>
          <w:rFonts w:hint="eastAsia" w:ascii="Times New Roman" w:hAnsi="Times New Roman" w:cs="Times New Roman"/>
          <w:color w:val="000000" w:themeColor="text1"/>
          <w14:textFill>
            <w14:solidFill>
              <w14:schemeClr w14:val="tx1"/>
            </w14:solidFill>
          </w14:textFill>
        </w:rPr>
        <w:t>及贫血专病</w:t>
      </w:r>
      <w:r>
        <w:rPr>
          <w:rFonts w:hint="eastAsia" w:ascii="Times New Roman" w:hAnsi="Times New Roman" w:cs="Times New Roman"/>
        </w:rPr>
        <w:t>门诊</w:t>
      </w:r>
      <w:r>
        <w:rPr>
          <w:rFonts w:ascii="Times New Roman" w:hAnsi="Times New Roman" w:cs="Times New Roman"/>
        </w:rPr>
        <w:t>。目前床位编制84张，其中普通病房62张、造血干细胞移植中心层流病房22张。拥有医护人员4</w:t>
      </w:r>
      <w:r>
        <w:rPr>
          <w:rFonts w:hint="eastAsia" w:ascii="Times New Roman" w:hAnsi="Times New Roman" w:cs="Times New Roman"/>
        </w:rPr>
        <w:t>7</w:t>
      </w:r>
      <w:r>
        <w:rPr>
          <w:rFonts w:ascii="Times New Roman" w:hAnsi="Times New Roman" w:cs="Times New Roman"/>
        </w:rPr>
        <w:t>人，其中博士学历</w:t>
      </w:r>
      <w:r>
        <w:rPr>
          <w:rFonts w:hint="eastAsia" w:ascii="Times New Roman" w:hAnsi="Times New Roman" w:cs="Times New Roman"/>
        </w:rPr>
        <w:t>4</w:t>
      </w:r>
      <w:r>
        <w:rPr>
          <w:rFonts w:ascii="Times New Roman" w:hAnsi="Times New Roman" w:cs="Times New Roman"/>
        </w:rPr>
        <w:t>人、硕士学历11人、医生1</w:t>
      </w:r>
      <w:r>
        <w:rPr>
          <w:rFonts w:hint="eastAsia" w:ascii="Times New Roman" w:hAnsi="Times New Roman" w:cs="Times New Roman"/>
        </w:rPr>
        <w:t>7</w:t>
      </w:r>
      <w:r>
        <w:rPr>
          <w:rFonts w:ascii="Times New Roman" w:hAnsi="Times New Roman" w:cs="Times New Roman"/>
        </w:rPr>
        <w:t>人、护理人员30人。</w:t>
      </w:r>
    </w:p>
    <w:p w14:paraId="7A75BB9D">
      <w:pPr>
        <w:widowControl/>
        <w:spacing w:before="180"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目前，血液内科团队已开展的特色医疗技术有造血干细胞移植、CAR-T细胞（嵌合抗原受体T细胞）治疗、血液肿瘤免疫及靶向治疗。学科开展的</w:t>
      </w:r>
      <w:r>
        <w:rPr>
          <w:rFonts w:ascii="Times New Roman" w:hAnsi="Times New Roman" w:eastAsia="宋体" w:cs="Times New Roman"/>
          <w:kern w:val="0"/>
          <w:sz w:val="24"/>
          <w:szCs w:val="24"/>
          <w14:ligatures w14:val="none"/>
        </w:rPr>
        <w:t>自体造血干细胞移植、异基因造血干细胞移植以</w:t>
      </w:r>
      <w:r>
        <w:rPr>
          <w:rFonts w:hint="eastAsia" w:ascii="Times New Roman" w:hAnsi="Times New Roman" w:eastAsia="宋体" w:cs="Times New Roman"/>
          <w:kern w:val="0"/>
          <w:sz w:val="24"/>
          <w:szCs w:val="24"/>
          <w14:ligatures w14:val="none"/>
        </w:rPr>
        <w:t>、</w:t>
      </w:r>
      <w:r>
        <w:rPr>
          <w:rFonts w:ascii="Times New Roman" w:hAnsi="Times New Roman" w:eastAsia="宋体" w:cs="Times New Roman"/>
          <w:kern w:val="0"/>
          <w:sz w:val="24"/>
          <w:szCs w:val="24"/>
          <w14:ligatures w14:val="none"/>
        </w:rPr>
        <w:t>单倍体相合造血干细胞移植</w:t>
      </w:r>
      <w:r>
        <w:rPr>
          <w:rFonts w:hint="eastAsia" w:ascii="Times New Roman" w:hAnsi="Times New Roman" w:eastAsia="宋体" w:cs="Times New Roman"/>
          <w:color w:val="000000" w:themeColor="text1"/>
          <w:kern w:val="0"/>
          <w:sz w:val="24"/>
          <w:szCs w:val="24"/>
          <w14:textFill>
            <w14:solidFill>
              <w14:schemeClr w14:val="tx1"/>
            </w14:solidFill>
          </w14:textFill>
          <w14:ligatures w14:val="none"/>
        </w:rPr>
        <w:t>及</w:t>
      </w:r>
      <w:r>
        <w:rPr>
          <w:rFonts w:ascii="Times New Roman" w:hAnsi="Times New Roman" w:eastAsia="宋体" w:cs="Times New Roman"/>
          <w:color w:val="000000" w:themeColor="text1"/>
          <w:sz w:val="24"/>
          <w:szCs w:val="24"/>
          <w14:textFill>
            <w14:solidFill>
              <w14:schemeClr w14:val="tx1"/>
            </w14:solidFill>
          </w14:textFill>
        </w:rPr>
        <w:t>非亲缘造血干细胞移植术</w:t>
      </w:r>
      <w:r>
        <w:rPr>
          <w:rFonts w:ascii="Times New Roman" w:hAnsi="Times New Roman" w:eastAsia="宋体" w:cs="Times New Roman"/>
          <w:kern w:val="0"/>
          <w:sz w:val="24"/>
          <w:szCs w:val="24"/>
          <w14:ligatures w14:val="none"/>
        </w:rPr>
        <w:t>治疗各类白血病、淋巴瘤、多发性骨髓瘤、骨髓增生异常综合征以及再生障碍性贫血等血液系统疾病的移植成功率</w:t>
      </w:r>
      <w:r>
        <w:rPr>
          <w:rFonts w:hint="eastAsia" w:ascii="Times New Roman" w:hAnsi="Times New Roman" w:eastAsia="宋体" w:cs="Times New Roman"/>
          <w:color w:val="000000" w:themeColor="text1"/>
          <w:kern w:val="0"/>
          <w:sz w:val="24"/>
          <w:szCs w:val="24"/>
          <w14:textFill>
            <w14:solidFill>
              <w14:schemeClr w14:val="tx1"/>
            </w14:solidFill>
          </w14:textFill>
          <w14:ligatures w14:val="none"/>
        </w:rPr>
        <w:t>达</w:t>
      </w:r>
      <w:r>
        <w:rPr>
          <w:rFonts w:ascii="Times New Roman" w:hAnsi="Times New Roman" w:eastAsia="宋体" w:cs="Times New Roman"/>
          <w:color w:val="000000" w:themeColor="text1"/>
          <w:kern w:val="0"/>
          <w:sz w:val="24"/>
          <w:szCs w:val="24"/>
          <w14:textFill>
            <w14:solidFill>
              <w14:schemeClr w14:val="tx1"/>
            </w14:solidFill>
          </w14:textFill>
          <w14:ligatures w14:val="none"/>
        </w:rPr>
        <w:t>国</w:t>
      </w:r>
      <w:r>
        <w:rPr>
          <w:rFonts w:hint="eastAsia" w:ascii="Times New Roman" w:hAnsi="Times New Roman" w:eastAsia="宋体" w:cs="Times New Roman"/>
          <w:color w:val="000000" w:themeColor="text1"/>
          <w:kern w:val="0"/>
          <w:sz w:val="24"/>
          <w:szCs w:val="24"/>
          <w14:textFill>
            <w14:solidFill>
              <w14:schemeClr w14:val="tx1"/>
            </w14:solidFill>
          </w14:textFill>
          <w14:ligatures w14:val="none"/>
        </w:rPr>
        <w:t>内先进水平</w:t>
      </w:r>
      <w:r>
        <w:rPr>
          <w:rFonts w:ascii="Times New Roman" w:hAnsi="Times New Roman" w:eastAsia="宋体" w:cs="Times New Roman"/>
          <w:kern w:val="0"/>
          <w:sz w:val="24"/>
          <w:szCs w:val="24"/>
          <w14:ligatures w14:val="none"/>
        </w:rPr>
        <w:t>。</w:t>
      </w:r>
      <w:r>
        <w:rPr>
          <w:rFonts w:ascii="Times New Roman" w:hAnsi="Times New Roman" w:eastAsia="宋体" w:cs="Times New Roman"/>
          <w:sz w:val="24"/>
          <w:szCs w:val="24"/>
        </w:rPr>
        <w:t>学科开展的CAR-T细胞治疗B细胞白血病/淋巴瘤、T细胞白血病/淋巴瘤、多发性骨髓瘤均取得了显著疗效，使越来越多的血液肿瘤患者重获新生。学科开展的FLT3抑制剂、BCL2抑制剂、CD38单抗、CD19-CD3双特异性抗体、BCMA-CD3双特异性抗体、ADC药物等新型靶向药物治疗血液系统肿瘤，明显提高了复发/难治患者的治愈率及生活质量。</w:t>
      </w:r>
    </w:p>
    <w:p w14:paraId="11AB732B">
      <w:pPr>
        <w:pStyle w:val="14"/>
        <w:spacing w:before="180" w:beforeAutospacing="0" w:after="0" w:afterAutospacing="0" w:line="360" w:lineRule="auto"/>
        <w:ind w:firstLine="480" w:firstLineChars="200"/>
        <w:jc w:val="both"/>
        <w:rPr>
          <w:rFonts w:ascii="Times New Roman" w:hAnsi="Times New Roman" w:cs="Times New Roman"/>
        </w:rPr>
      </w:pPr>
      <w:r>
        <w:rPr>
          <w:rFonts w:ascii="Times New Roman" w:hAnsi="Times New Roman" w:cs="Times New Roman"/>
        </w:rPr>
        <w:t>学科的主要研究方向是血液病免疫调节机制研究及靶点开发、干细胞与免疫细胞治疗技术研发及临床转化应用、基因编辑技术研发及临床转化应用。近年承担国家级、省部级科研项目10余项，发表学术论文100余篇;获广东省科技成果三等奖、海南省科技成果二等奖、广东省医院协会医院管理与科技创新奖</w:t>
      </w:r>
      <w:r>
        <w:rPr>
          <w:rFonts w:hint="eastAsia" w:ascii="Times New Roman" w:hAnsi="Times New Roman" w:cs="Times New Roman"/>
        </w:rPr>
        <w:t>（</w:t>
      </w:r>
      <w:r>
        <w:rPr>
          <w:rFonts w:ascii="Times New Roman" w:hAnsi="Times New Roman" w:cs="Times New Roman"/>
        </w:rPr>
        <w:t>科技类</w:t>
      </w:r>
      <w:r>
        <w:rPr>
          <w:rFonts w:hint="eastAsia" w:ascii="Times New Roman" w:hAnsi="Times New Roman" w:cs="Times New Roman"/>
        </w:rPr>
        <w:t>）</w:t>
      </w:r>
      <w:r>
        <w:rPr>
          <w:rFonts w:ascii="Times New Roman" w:hAnsi="Times New Roman" w:cs="Times New Roman"/>
        </w:rPr>
        <w:t>二等奖和湛江市科技成果一等奖各1项;申请发明专利5项;参与制定CAR-T细胞治疗团体标准3项。</w:t>
      </w:r>
    </w:p>
    <w:p w14:paraId="796DF948">
      <w:pPr>
        <w:pStyle w:val="14"/>
        <w:spacing w:before="180" w:beforeAutospacing="0" w:after="0" w:afterAutospacing="0" w:line="360" w:lineRule="auto"/>
        <w:ind w:left="479" w:leftChars="228"/>
        <w:rPr>
          <w:rFonts w:ascii="Times New Roman" w:hAnsi="Times New Roman" w:cs="Times New Roman"/>
        </w:rPr>
      </w:pPr>
      <w:r>
        <w:rPr>
          <w:rFonts w:ascii="Times New Roman" w:hAnsi="Times New Roman" w:cs="Times New Roman"/>
        </w:rPr>
        <w:t>地址：湛江市赤坎区源珠路236号湛江中心人民医院5号楼5楼血液内</w:t>
      </w:r>
      <w:r>
        <w:rPr>
          <w:rFonts w:hint="eastAsia" w:ascii="Times New Roman" w:hAnsi="Times New Roman" w:cs="Times New Roman"/>
        </w:rPr>
        <w:t>科</w:t>
      </w:r>
    </w:p>
    <w:p w14:paraId="0B0135FF">
      <w:pPr>
        <w:pStyle w:val="14"/>
        <w:spacing w:before="0" w:beforeAutospacing="0" w:after="0" w:afterAutospacing="0" w:line="360" w:lineRule="auto"/>
        <w:ind w:left="479" w:leftChars="228"/>
        <w:rPr>
          <w:rFonts w:ascii="Times New Roman" w:hAnsi="Times New Roman" w:cs="Times New Roman"/>
        </w:rPr>
      </w:pPr>
      <w:r>
        <w:rPr>
          <w:rFonts w:ascii="Times New Roman" w:hAnsi="Times New Roman" w:cs="Times New Roman"/>
        </w:rPr>
        <w:t>专业人员数：40人</w:t>
      </w:r>
    </w:p>
    <w:p w14:paraId="48812E69">
      <w:pPr>
        <w:pStyle w:val="14"/>
        <w:spacing w:before="0" w:beforeAutospacing="0" w:after="0" w:afterAutospacing="0" w:line="360" w:lineRule="auto"/>
        <w:ind w:left="479" w:leftChars="228"/>
        <w:rPr>
          <w:rFonts w:ascii="Times New Roman" w:hAnsi="Times New Roman" w:cs="Times New Roman"/>
        </w:rPr>
      </w:pPr>
      <w:r>
        <w:rPr>
          <w:rFonts w:ascii="Times New Roman" w:hAnsi="Times New Roman" w:cs="Times New Roman"/>
        </w:rPr>
        <w:t>年门诊量：17406</w:t>
      </w:r>
    </w:p>
    <w:p w14:paraId="1EDE4385">
      <w:pPr>
        <w:pStyle w:val="14"/>
        <w:spacing w:before="0" w:beforeAutospacing="0" w:after="0" w:afterAutospacing="0" w:line="360" w:lineRule="auto"/>
        <w:ind w:firstLine="480" w:firstLineChars="200"/>
        <w:rPr>
          <w:rFonts w:ascii="Times New Roman" w:hAnsi="Times New Roman" w:cs="Times New Roman"/>
        </w:rPr>
      </w:pPr>
      <w:r>
        <w:rPr>
          <w:rFonts w:ascii="Times New Roman" w:hAnsi="Times New Roman" w:cs="Times New Roman"/>
        </w:rPr>
        <w:t>联系电话：0759-3157025</w:t>
      </w:r>
    </w:p>
    <w:p w14:paraId="4FD102D5">
      <w:pPr>
        <w:widowControl/>
        <w:spacing w:before="180" w:line="360" w:lineRule="auto"/>
        <w:ind w:firstLine="476" w:firstLineChars="200"/>
        <w:jc w:val="left"/>
        <w:rPr>
          <w:rFonts w:ascii="Times New Roman" w:hAnsi="Times New Roman" w:eastAsia="宋体" w:cs="Times New Roman"/>
          <w:sz w:val="24"/>
          <w:szCs w:val="24"/>
        </w:rPr>
      </w:pPr>
      <w:r>
        <w:rPr>
          <w:rFonts w:hint="eastAsia" w:ascii="Times New Roman" w:hAnsi="Times New Roman" w:eastAsia="宋体" w:cs="Times New Roman"/>
          <w:spacing w:val="-1"/>
          <w:sz w:val="24"/>
          <w:szCs w:val="24"/>
        </w:rPr>
        <w:t>【常见病种</w:t>
      </w:r>
      <w:r>
        <w:rPr>
          <w:rFonts w:ascii="Times New Roman" w:hAnsi="Times New Roman" w:eastAsia="宋体" w:cs="Times New Roman"/>
          <w:spacing w:val="-1"/>
          <w:sz w:val="24"/>
          <w:szCs w:val="24"/>
        </w:rPr>
        <w:t>】</w:t>
      </w:r>
    </w:p>
    <w:p w14:paraId="7790685F">
      <w:pPr>
        <w:pStyle w:val="14"/>
        <w:spacing w:before="0" w:beforeAutospacing="0" w:after="0" w:afterAutospacing="0" w:line="360" w:lineRule="auto"/>
        <w:ind w:firstLine="480" w:firstLineChars="200"/>
        <w:rPr>
          <w:rFonts w:ascii="Times New Roman" w:hAnsi="Times New Roman" w:cs="Times New Roman"/>
        </w:rPr>
      </w:pPr>
      <w:r>
        <w:rPr>
          <w:rFonts w:ascii="Times New Roman" w:hAnsi="Times New Roman" w:cs="Times New Roman"/>
        </w:rPr>
        <w:t>白血病：</w:t>
      </w:r>
      <w:r>
        <w:rPr>
          <w:rFonts w:hint="eastAsia" w:ascii="Times New Roman" w:hAnsi="Times New Roman" w:cs="Times New Roman"/>
        </w:rPr>
        <w:t>年门诊量约3700人次</w:t>
      </w:r>
    </w:p>
    <w:p w14:paraId="14B70B4D">
      <w:pPr>
        <w:pStyle w:val="14"/>
        <w:spacing w:before="0" w:beforeAutospacing="0" w:after="0" w:afterAutospacing="0" w:line="360" w:lineRule="auto"/>
        <w:ind w:firstLine="480" w:firstLineChars="200"/>
        <w:rPr>
          <w:rFonts w:ascii="Times New Roman" w:hAnsi="Times New Roman" w:cs="Times New Roman"/>
        </w:rPr>
      </w:pPr>
      <w:r>
        <w:rPr>
          <w:rFonts w:hint="eastAsia" w:ascii="Times New Roman" w:hAnsi="Times New Roman" w:cs="Times New Roman"/>
        </w:rPr>
        <w:t>慢性骨髓增殖性肿瘤</w:t>
      </w:r>
      <w:r>
        <w:rPr>
          <w:rFonts w:ascii="Times New Roman" w:hAnsi="Times New Roman" w:cs="Times New Roman"/>
        </w:rPr>
        <w:t>：</w:t>
      </w:r>
      <w:r>
        <w:rPr>
          <w:rFonts w:hint="eastAsia" w:ascii="Times New Roman" w:hAnsi="Times New Roman" w:cs="Times New Roman"/>
        </w:rPr>
        <w:t>年门诊量约1700人次</w:t>
      </w:r>
    </w:p>
    <w:p w14:paraId="4C0897D6">
      <w:pPr>
        <w:pStyle w:val="14"/>
        <w:spacing w:before="0" w:beforeAutospacing="0" w:after="0" w:afterAutospacing="0" w:line="360" w:lineRule="auto"/>
        <w:ind w:firstLine="480" w:firstLineChars="200"/>
        <w:rPr>
          <w:rFonts w:ascii="Times New Roman" w:hAnsi="Times New Roman" w:cs="Times New Roman"/>
        </w:rPr>
      </w:pPr>
      <w:r>
        <w:rPr>
          <w:rFonts w:hint="eastAsia" w:ascii="Times New Roman" w:hAnsi="Times New Roman" w:cs="Times New Roman"/>
        </w:rPr>
        <w:t>免疫性血小板减少症：年门诊量约1000人次</w:t>
      </w:r>
    </w:p>
    <w:p w14:paraId="74E3AABC">
      <w:pPr>
        <w:pStyle w:val="14"/>
        <w:spacing w:before="0" w:beforeAutospacing="0" w:after="0" w:afterAutospacing="0" w:line="360" w:lineRule="auto"/>
        <w:ind w:firstLine="480" w:firstLineChars="200"/>
        <w:rPr>
          <w:rFonts w:ascii="Times New Roman" w:hAnsi="Times New Roman" w:cs="Times New Roman"/>
        </w:rPr>
      </w:pPr>
      <w:r>
        <w:rPr>
          <w:rFonts w:hint="eastAsia" w:ascii="Times New Roman" w:hAnsi="Times New Roman" w:cs="Times New Roman"/>
        </w:rPr>
        <w:t>淋巴瘤：年门诊量约850人次</w:t>
      </w:r>
    </w:p>
    <w:p w14:paraId="32C0CDAC">
      <w:pPr>
        <w:pStyle w:val="14"/>
        <w:spacing w:before="0" w:beforeAutospacing="0" w:after="0" w:afterAutospacing="0" w:line="360" w:lineRule="auto"/>
        <w:ind w:firstLine="480" w:firstLineChars="200"/>
        <w:rPr>
          <w:rFonts w:ascii="Times New Roman" w:hAnsi="Times New Roman" w:cs="Times New Roman"/>
        </w:rPr>
      </w:pPr>
      <w:r>
        <w:rPr>
          <w:rFonts w:ascii="Times New Roman" w:hAnsi="Times New Roman" w:cs="Times New Roman"/>
        </w:rPr>
        <w:t>再生障碍性贫血：</w:t>
      </w:r>
      <w:r>
        <w:rPr>
          <w:rFonts w:hint="eastAsia" w:ascii="Times New Roman" w:hAnsi="Times New Roman" w:cs="Times New Roman"/>
        </w:rPr>
        <w:t>年门诊量约750人次</w:t>
      </w:r>
    </w:p>
    <w:p w14:paraId="5D19D4DF">
      <w:pPr>
        <w:pStyle w:val="14"/>
        <w:spacing w:before="0" w:beforeAutospacing="0" w:after="0" w:afterAutospacing="0" w:line="360" w:lineRule="auto"/>
        <w:ind w:firstLine="480" w:firstLineChars="200"/>
        <w:rPr>
          <w:rFonts w:hint="eastAsia" w:ascii="Times New Roman" w:hAnsi="Times New Roman" w:cs="Times New Roman"/>
        </w:rPr>
      </w:pPr>
      <w:r>
        <w:rPr>
          <w:rFonts w:ascii="Times New Roman" w:hAnsi="Times New Roman" w:cs="Times New Roman"/>
        </w:rPr>
        <w:t>缺铁性贫血：</w:t>
      </w:r>
      <w:r>
        <w:rPr>
          <w:rFonts w:hint="eastAsia" w:ascii="Times New Roman" w:hAnsi="Times New Roman" w:cs="Times New Roman"/>
        </w:rPr>
        <w:t>年门诊量约</w:t>
      </w:r>
      <w:r>
        <w:rPr>
          <w:rFonts w:ascii="Times New Roman" w:hAnsi="Times New Roman" w:cs="Times New Roman"/>
        </w:rPr>
        <w:t>6</w:t>
      </w:r>
      <w:r>
        <w:rPr>
          <w:rFonts w:hint="eastAsia" w:ascii="Times New Roman" w:hAnsi="Times New Roman" w:cs="Times New Roman"/>
        </w:rPr>
        <w:t>80人次</w:t>
      </w:r>
    </w:p>
    <w:p w14:paraId="33B6B8A4">
      <w:pPr>
        <w:widowControl/>
        <w:spacing w:before="180" w:line="360" w:lineRule="auto"/>
        <w:ind w:firstLine="476" w:firstLineChars="200"/>
        <w:jc w:val="left"/>
        <w:rPr>
          <w:rFonts w:ascii="Times New Roman" w:hAnsi="Times New Roman" w:eastAsia="宋体" w:cs="Times New Roman"/>
          <w:sz w:val="24"/>
          <w:szCs w:val="24"/>
        </w:rPr>
      </w:pPr>
      <w:r>
        <w:rPr>
          <w:rFonts w:ascii="Times New Roman" w:hAnsi="Times New Roman" w:eastAsia="宋体" w:cs="Times New Roman"/>
          <w:spacing w:val="-1"/>
          <w:sz w:val="24"/>
          <w:szCs w:val="24"/>
        </w:rPr>
        <w:t>【主要研究者信息】</w:t>
      </w:r>
    </w:p>
    <w:p w14:paraId="03D628A6">
      <w:pPr>
        <w:widowControl/>
        <w:spacing w:before="180" w:line="360" w:lineRule="auto"/>
        <w:ind w:firstLine="480" w:firstLineChars="200"/>
        <w:jc w:val="center"/>
        <w:rPr>
          <w:rFonts w:ascii="Times New Roman" w:hAnsi="Times New Roman" w:eastAsia="宋体" w:cs="Times New Roman"/>
          <w:sz w:val="24"/>
          <w:szCs w:val="24"/>
        </w:rPr>
      </w:pPr>
      <w:r>
        <w:rPr>
          <w:rFonts w:ascii="Times New Roman" w:hAnsi="Times New Roman" w:eastAsia="宋体" w:cs="Times New Roman"/>
          <w:sz w:val="24"/>
          <w:szCs w:val="24"/>
        </w:rPr>
        <w:drawing>
          <wp:inline distT="0" distB="0" distL="0" distR="0">
            <wp:extent cx="2540000" cy="2540000"/>
            <wp:effectExtent l="0" t="0" r="0" b="0"/>
            <wp:docPr id="695713976" name="图片 2"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713976" name="图片 2" descr="图片"/>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2540000" cy="2540000"/>
                    </a:xfrm>
                    <a:prstGeom prst="rect">
                      <a:avLst/>
                    </a:prstGeom>
                    <a:noFill/>
                    <a:ln>
                      <a:noFill/>
                    </a:ln>
                  </pic:spPr>
                </pic:pic>
              </a:graphicData>
            </a:graphic>
          </wp:inline>
        </w:drawing>
      </w:r>
    </w:p>
    <w:p w14:paraId="49E21D34">
      <w:pPr>
        <w:widowControl/>
        <w:spacing w:before="180" w:line="360" w:lineRule="auto"/>
        <w:ind w:firstLine="480" w:firstLineChars="200"/>
        <w:jc w:val="center"/>
        <w:rPr>
          <w:rFonts w:ascii="Times New Roman" w:hAnsi="Times New Roman" w:eastAsia="宋体" w:cs="Times New Roman"/>
          <w:sz w:val="24"/>
          <w:szCs w:val="24"/>
        </w:rPr>
      </w:pPr>
      <w:r>
        <w:rPr>
          <w:rFonts w:ascii="Times New Roman" w:hAnsi="Times New Roman" w:eastAsia="宋体" w:cs="Times New Roman"/>
          <w:sz w:val="24"/>
          <w:szCs w:val="24"/>
        </w:rPr>
        <w:t>姓名：吴国才</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 xml:space="preserve">  </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职务：科室主任</w:t>
      </w:r>
      <w:r>
        <w:rPr>
          <w:rFonts w:hint="eastAsia" w:ascii="Times New Roman" w:hAnsi="Times New Roman" w:eastAsia="宋体" w:cs="Times New Roman"/>
          <w:sz w:val="24"/>
          <w:szCs w:val="24"/>
        </w:rPr>
        <w:t xml:space="preserve">  </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职称：主任医师</w:t>
      </w:r>
    </w:p>
    <w:p w14:paraId="66658CE9">
      <w:pPr>
        <w:spacing w:line="360" w:lineRule="auto"/>
        <w:rPr>
          <w:rFonts w:ascii="Times New Roman" w:hAnsi="Times New Roman" w:eastAsia="宋体" w:cs="Times New Roman"/>
          <w:sz w:val="24"/>
          <w:szCs w:val="24"/>
        </w:rPr>
      </w:pPr>
      <w:r>
        <w:rPr>
          <w:rFonts w:ascii="Times New Roman" w:hAnsi="Times New Roman" w:eastAsia="宋体" w:cs="Times New Roman"/>
          <w:sz w:val="24"/>
          <w:szCs w:val="24"/>
        </w:rPr>
        <w:t>个人简介：</w:t>
      </w:r>
    </w:p>
    <w:p w14:paraId="028736E0">
      <w:pPr>
        <w:numPr>
          <w:ilvl w:val="0"/>
          <w:numId w:val="1"/>
        </w:numPr>
        <w:spacing w:line="360" w:lineRule="auto"/>
        <w:ind w:left="420" w:leftChars="0" w:hanging="420" w:firstLineChars="0"/>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湛江中心人民医院</w:t>
      </w:r>
      <w:r>
        <w:rPr>
          <w:rFonts w:ascii="Times New Roman" w:hAnsi="Times New Roman" w:eastAsia="宋体" w:cs="Times New Roman"/>
          <w:sz w:val="24"/>
          <w:szCs w:val="24"/>
        </w:rPr>
        <w:t>血液内科主任、内科教研室副主任</w:t>
      </w:r>
    </w:p>
    <w:p w14:paraId="1850E0D5">
      <w:pPr>
        <w:numPr>
          <w:ilvl w:val="0"/>
          <w:numId w:val="2"/>
        </w:numPr>
        <w:spacing w:line="360" w:lineRule="auto"/>
        <w:ind w:left="420" w:leftChars="0" w:hanging="420" w:firstLineChars="0"/>
        <w:rPr>
          <w:rFonts w:ascii="Times New Roman" w:hAnsi="Times New Roman" w:eastAsia="宋体" w:cs="Times New Roman"/>
          <w:sz w:val="24"/>
          <w:szCs w:val="24"/>
        </w:rPr>
      </w:pPr>
      <w:r>
        <w:rPr>
          <w:rFonts w:ascii="Times New Roman" w:hAnsi="Times New Roman" w:eastAsia="宋体" w:cs="Times New Roman"/>
          <w:sz w:val="24"/>
          <w:szCs w:val="24"/>
        </w:rPr>
        <w:t>南粤好医生</w:t>
      </w:r>
      <w:r>
        <w:rPr>
          <w:rFonts w:hint="eastAsia" w:ascii="Times New Roman" w:hAnsi="Times New Roman" w:eastAsia="宋体" w:cs="Times New Roman"/>
          <w:sz w:val="24"/>
          <w:szCs w:val="24"/>
        </w:rPr>
        <w:t>、湛江好医生</w:t>
      </w:r>
    </w:p>
    <w:p w14:paraId="71CDFA5C">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ascii="Times New Roman" w:hAnsi="Times New Roman" w:eastAsia="宋体" w:cs="Times New Roman"/>
          <w:kern w:val="0"/>
          <w:sz w:val="24"/>
          <w:szCs w:val="24"/>
        </w:rPr>
        <w:t>任</w:t>
      </w:r>
      <w:r>
        <w:rPr>
          <w:rFonts w:hint="eastAsia" w:ascii="Times New Roman" w:hAnsi="Times New Roman" w:eastAsia="宋体" w:cs="Times New Roman"/>
          <w:kern w:val="0"/>
          <w:sz w:val="24"/>
          <w:szCs w:val="24"/>
        </w:rPr>
        <w:t>中国妇幼保健协会脐带血应用专业委员会委员</w:t>
      </w:r>
    </w:p>
    <w:p w14:paraId="060A87FF">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中国老年保健协会肿瘤免疫治疗专业委员会委员</w:t>
      </w:r>
    </w:p>
    <w:p w14:paraId="5D0FFCC1">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广东省医学教育协会第一届免疫专委会副主任委员</w:t>
      </w:r>
    </w:p>
    <w:p w14:paraId="49605E04">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广东省健康科普促进会干细胞及免疫细胞治疗分会副主任委员</w:t>
      </w:r>
    </w:p>
    <w:p w14:paraId="11039A7F">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广东省精准医学应用学会血液病分会出凝血青年专业委员会副主任委员</w:t>
      </w:r>
    </w:p>
    <w:p w14:paraId="524AA1D9">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广东省医学教育协会血液病专业委员会副主任委员</w:t>
      </w:r>
    </w:p>
    <w:p w14:paraId="142FE604">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广东省基层医药学会血液病专委会副主任委员</w:t>
      </w:r>
    </w:p>
    <w:p w14:paraId="0C97D550">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广东省呼吸与健康学会呼吸相关淋巴肿瘤疾病专业委员会常委</w:t>
      </w:r>
    </w:p>
    <w:p w14:paraId="37DF17D5">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广东省基层医药学会淋巴瘤专业委员会常务委员</w:t>
      </w:r>
    </w:p>
    <w:p w14:paraId="04A221F2">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广东省健康教育协会脐带血科普教育专业委员会第一届委员会副主任委员</w:t>
      </w:r>
    </w:p>
    <w:p w14:paraId="5AFCF30A">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广东省健康管理学会血液病专业委员会第二届常务委员</w:t>
      </w:r>
    </w:p>
    <w:p w14:paraId="3504B454">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广东省医疗行业协会血液病管理分会第二届委员会常务委员</w:t>
      </w:r>
    </w:p>
    <w:p w14:paraId="1086D15C">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广东省老年保健协会血液病专委会常务委员</w:t>
      </w:r>
    </w:p>
    <w:p w14:paraId="1F1A7DE8">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广东省医学会血液病学分会第十届委员会委员</w:t>
      </w:r>
    </w:p>
    <w:p w14:paraId="565CEBB2">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ascii="Times New Roman" w:hAnsi="Times New Roman" w:eastAsia="宋体" w:cs="Times New Roman"/>
          <w:kern w:val="0"/>
          <w:sz w:val="24"/>
          <w:szCs w:val="24"/>
        </w:rPr>
        <w:t>广东省医师协会血液科医师分会第</w:t>
      </w:r>
      <w:r>
        <w:rPr>
          <w:rFonts w:hint="eastAsia" w:ascii="Times New Roman" w:hAnsi="Times New Roman" w:eastAsia="宋体" w:cs="Times New Roman"/>
          <w:kern w:val="0"/>
          <w:sz w:val="24"/>
          <w:szCs w:val="24"/>
        </w:rPr>
        <w:t>三</w:t>
      </w:r>
      <w:r>
        <w:rPr>
          <w:rFonts w:ascii="Times New Roman" w:hAnsi="Times New Roman" w:eastAsia="宋体" w:cs="Times New Roman"/>
          <w:kern w:val="0"/>
          <w:sz w:val="24"/>
          <w:szCs w:val="24"/>
        </w:rPr>
        <w:t>届委员会委员</w:t>
      </w:r>
    </w:p>
    <w:p w14:paraId="45CAF144">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广州抗癌协会第一届罕见肿瘤专业委员会委员</w:t>
      </w:r>
    </w:p>
    <w:p w14:paraId="1596A33C">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ascii="Times New Roman" w:hAnsi="Times New Roman" w:eastAsia="宋体" w:cs="Times New Roman"/>
          <w:kern w:val="0"/>
          <w:sz w:val="24"/>
          <w:szCs w:val="24"/>
        </w:rPr>
        <w:t>广东省医师协会血液科医师分会第</w:t>
      </w:r>
      <w:r>
        <w:rPr>
          <w:rFonts w:hint="eastAsia" w:ascii="Times New Roman" w:hAnsi="Times New Roman" w:eastAsia="宋体" w:cs="Times New Roman"/>
          <w:kern w:val="0"/>
          <w:sz w:val="24"/>
          <w:szCs w:val="24"/>
        </w:rPr>
        <w:t>三</w:t>
      </w:r>
      <w:r>
        <w:rPr>
          <w:rFonts w:ascii="Times New Roman" w:hAnsi="Times New Roman" w:eastAsia="宋体" w:cs="Times New Roman"/>
          <w:kern w:val="0"/>
          <w:sz w:val="24"/>
          <w:szCs w:val="24"/>
        </w:rPr>
        <w:t>届委员会委员</w:t>
      </w:r>
    </w:p>
    <w:p w14:paraId="4F00ECFE">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湛江医师协会副会长</w:t>
      </w:r>
    </w:p>
    <w:p w14:paraId="7190AEF4">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湛江市医学会血液内科分会副主任委员</w:t>
      </w:r>
    </w:p>
    <w:p w14:paraId="5694A8F2">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湛江市肿瘤防治联盟淋巴瘤专委会副主任委员</w:t>
      </w:r>
    </w:p>
    <w:p w14:paraId="202231BE">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ascii="Times New Roman" w:hAnsi="Times New Roman" w:eastAsia="宋体" w:cs="Times New Roman"/>
          <w:kern w:val="0"/>
          <w:sz w:val="24"/>
          <w:szCs w:val="24"/>
        </w:rPr>
        <w:t>湛江市医学会精准医学分会第一界专业委员会副主任委员</w:t>
      </w:r>
    </w:p>
    <w:p w14:paraId="249996EB">
      <w:pPr>
        <w:numPr>
          <w:ilvl w:val="0"/>
          <w:numId w:val="2"/>
        </w:numPr>
        <w:spacing w:line="360" w:lineRule="auto"/>
        <w:ind w:left="420" w:leftChars="0" w:hanging="420" w:firstLineChars="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湛江市医院管理协会临床研究第二界委员会副主任委员</w:t>
      </w:r>
    </w:p>
    <w:p w14:paraId="6E8C634D">
      <w:pPr>
        <w:numPr>
          <w:ilvl w:val="0"/>
          <w:numId w:val="2"/>
        </w:numPr>
        <w:spacing w:line="360" w:lineRule="auto"/>
        <w:ind w:left="420" w:leftChars="0" w:hanging="420" w:firstLineChars="0"/>
        <w:rPr>
          <w:rFonts w:ascii="Times New Roman" w:hAnsi="Times New Roman" w:eastAsia="宋体" w:cs="Times New Roman"/>
          <w:sz w:val="24"/>
          <w:szCs w:val="24"/>
        </w:rPr>
      </w:pPr>
      <w:r>
        <w:rPr>
          <w:rFonts w:hint="eastAsia" w:ascii="Times New Roman" w:hAnsi="Times New Roman" w:eastAsia="宋体" w:cs="Times New Roman"/>
          <w:kern w:val="0"/>
          <w:sz w:val="24"/>
          <w:szCs w:val="24"/>
        </w:rPr>
        <w:t>湛江市医学会罕见病分会</w:t>
      </w:r>
      <w:r>
        <w:rPr>
          <w:rFonts w:ascii="Times New Roman" w:hAnsi="Times New Roman" w:eastAsia="宋体" w:cs="Times New Roman"/>
          <w:kern w:val="0"/>
          <w:sz w:val="24"/>
          <w:szCs w:val="24"/>
        </w:rPr>
        <w:t>第一界专业委员会副主任委员</w:t>
      </w:r>
    </w:p>
    <w:p w14:paraId="1ACA75B7">
      <w:pPr>
        <w:widowControl/>
        <w:spacing w:before="180" w:after="180" w:line="360" w:lineRule="auto"/>
        <w:ind w:firstLine="480" w:firstLineChars="200"/>
        <w:rPr>
          <w:rFonts w:ascii="Times New Roman" w:hAnsi="Times New Roman" w:eastAsia="宋体" w:cs="Times New Roman"/>
          <w:b/>
          <w:bCs/>
          <w:color w:val="000000"/>
          <w:w w:val="90"/>
          <w:sz w:val="24"/>
          <w:szCs w:val="24"/>
        </w:rPr>
      </w:pPr>
      <w:r>
        <w:rPr>
          <w:rFonts w:ascii="Times New Roman" w:hAnsi="Times New Roman" w:eastAsia="宋体" w:cs="Times New Roman"/>
          <w:sz w:val="24"/>
          <w:szCs w:val="24"/>
        </w:rPr>
        <w:t>【参与研究】</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5955"/>
        <w:gridCol w:w="1650"/>
      </w:tblGrid>
      <w:tr w14:paraId="7E38C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30" w:hRule="atLeast"/>
        </w:trPr>
        <w:tc>
          <w:tcPr>
            <w:tcW w:w="819" w:type="dxa"/>
            <w:vAlign w:val="center"/>
          </w:tcPr>
          <w:p w14:paraId="6412A0F4">
            <w:pPr>
              <w:widowControl/>
              <w:spacing w:line="360" w:lineRule="auto"/>
              <w:jc w:val="center"/>
              <w:rPr>
                <w:rFonts w:ascii="Times New Roman" w:hAnsi="Times New Roman" w:eastAsia="宋体" w:cs="Times New Roman"/>
                <w:b/>
                <w:bCs/>
                <w:kern w:val="0"/>
                <w:sz w:val="24"/>
                <w:szCs w:val="24"/>
                <w14:ligatures w14:val="none"/>
              </w:rPr>
            </w:pPr>
            <w:r>
              <w:rPr>
                <w:rFonts w:hint="eastAsia" w:ascii="Times New Roman" w:hAnsi="Times New Roman" w:eastAsia="宋体" w:cs="Times New Roman"/>
                <w:b/>
                <w:bCs/>
                <w:kern w:val="0"/>
                <w:sz w:val="24"/>
                <w:szCs w:val="24"/>
                <w14:ligatures w14:val="none"/>
              </w:rPr>
              <w:t>No.</w:t>
            </w:r>
          </w:p>
        </w:tc>
        <w:tc>
          <w:tcPr>
            <w:tcW w:w="5955" w:type="dxa"/>
            <w:vAlign w:val="center"/>
          </w:tcPr>
          <w:p w14:paraId="39B5A8AD">
            <w:pPr>
              <w:widowControl/>
              <w:spacing w:line="360" w:lineRule="auto"/>
              <w:jc w:val="center"/>
              <w:rPr>
                <w:rFonts w:ascii="Times New Roman" w:hAnsi="Times New Roman" w:eastAsia="宋体" w:cs="Times New Roman"/>
                <w:b/>
                <w:bCs/>
                <w:kern w:val="0"/>
                <w:sz w:val="24"/>
                <w:szCs w:val="24"/>
                <w14:ligatures w14:val="none"/>
              </w:rPr>
            </w:pPr>
            <w:r>
              <w:rPr>
                <w:rFonts w:ascii="Times New Roman" w:hAnsi="Times New Roman" w:eastAsia="宋体" w:cs="Times New Roman"/>
                <w:b/>
                <w:bCs/>
                <w:kern w:val="0"/>
                <w:sz w:val="24"/>
                <w:szCs w:val="24"/>
                <w14:ligatures w14:val="none"/>
              </w:rPr>
              <w:t>项目名称</w:t>
            </w:r>
          </w:p>
        </w:tc>
        <w:tc>
          <w:tcPr>
            <w:tcW w:w="1650" w:type="dxa"/>
            <w:vAlign w:val="center"/>
          </w:tcPr>
          <w:p w14:paraId="0914CE3E">
            <w:pPr>
              <w:widowControl/>
              <w:spacing w:line="360" w:lineRule="auto"/>
              <w:jc w:val="center"/>
              <w:rPr>
                <w:rFonts w:ascii="Times New Roman" w:hAnsi="Times New Roman" w:eastAsia="宋体" w:cs="Times New Roman"/>
                <w:b/>
                <w:bCs/>
                <w:kern w:val="0"/>
                <w:sz w:val="24"/>
                <w:szCs w:val="24"/>
                <w14:ligatures w14:val="none"/>
              </w:rPr>
            </w:pPr>
            <w:r>
              <w:rPr>
                <w:rFonts w:hint="eastAsia" w:ascii="Times New Roman" w:hAnsi="Times New Roman" w:eastAsia="宋体" w:cs="Times New Roman"/>
                <w:b/>
                <w:bCs/>
                <w:kern w:val="0"/>
                <w:sz w:val="24"/>
                <w:szCs w:val="24"/>
                <w14:ligatures w14:val="none"/>
              </w:rPr>
              <w:t>备注</w:t>
            </w:r>
          </w:p>
        </w:tc>
      </w:tr>
      <w:tr w14:paraId="74E96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636C49B7">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w:t>
            </w:r>
          </w:p>
        </w:tc>
        <w:tc>
          <w:tcPr>
            <w:tcW w:w="5955" w:type="dxa"/>
            <w:vAlign w:val="center"/>
          </w:tcPr>
          <w:p w14:paraId="4C54E3E5">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color w:val="000000"/>
                <w:kern w:val="0"/>
                <w:sz w:val="24"/>
                <w:szCs w:val="24"/>
                <w14:ligatures w14:val="none"/>
              </w:rPr>
              <w:t>6MW3211 注射液治疗复发/难治性急性髓系白血（AML）或骨髓增生异常综合征（MDS）患者的初步有效性和安全性的多中心、开放性的Ib 期临床试验</w:t>
            </w:r>
          </w:p>
        </w:tc>
        <w:tc>
          <w:tcPr>
            <w:tcW w:w="1650" w:type="dxa"/>
            <w:vAlign w:val="center"/>
          </w:tcPr>
          <w:p w14:paraId="6FB7B00A">
            <w:pPr>
              <w:widowControl/>
              <w:spacing w:line="360" w:lineRule="auto"/>
              <w:jc w:val="center"/>
              <w:rPr>
                <w:rFonts w:ascii="Times New Roman" w:hAnsi="Times New Roman" w:eastAsia="宋体" w:cs="Times New Roman"/>
                <w:color w:val="000000"/>
                <w:kern w:val="0"/>
                <w:sz w:val="24"/>
                <w:szCs w:val="24"/>
                <w14:ligatures w14:val="none"/>
              </w:rPr>
            </w:pPr>
          </w:p>
        </w:tc>
      </w:tr>
      <w:tr w14:paraId="23107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390A06C9">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2</w:t>
            </w:r>
          </w:p>
        </w:tc>
        <w:tc>
          <w:tcPr>
            <w:tcW w:w="5955" w:type="dxa"/>
            <w:vAlign w:val="center"/>
          </w:tcPr>
          <w:p w14:paraId="50B31B9E">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color w:val="000000"/>
                <w:kern w:val="0"/>
                <w:sz w:val="24"/>
                <w:szCs w:val="24"/>
                <w14:ligatures w14:val="none"/>
              </w:rPr>
              <w:t>奥布替尼联合利妥昔单抗序贯奥布替尼维持治疗复发难治滤泡性淋巴瘤（R/R FL）的单臂、开放性、多中心 II 期临床研究</w:t>
            </w:r>
          </w:p>
        </w:tc>
        <w:tc>
          <w:tcPr>
            <w:tcW w:w="1650" w:type="dxa"/>
            <w:vAlign w:val="center"/>
          </w:tcPr>
          <w:p w14:paraId="02376AFF">
            <w:pPr>
              <w:widowControl/>
              <w:spacing w:line="360" w:lineRule="auto"/>
              <w:jc w:val="center"/>
              <w:rPr>
                <w:rFonts w:ascii="Times New Roman" w:hAnsi="Times New Roman" w:eastAsia="宋体" w:cs="Times New Roman"/>
                <w:color w:val="000000"/>
                <w:kern w:val="0"/>
                <w:sz w:val="24"/>
                <w:szCs w:val="24"/>
                <w14:ligatures w14:val="none"/>
              </w:rPr>
            </w:pPr>
          </w:p>
        </w:tc>
      </w:tr>
      <w:tr w14:paraId="3D78F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48A5DF7C">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3</w:t>
            </w:r>
          </w:p>
        </w:tc>
        <w:tc>
          <w:tcPr>
            <w:tcW w:w="5955" w:type="dxa"/>
            <w:vAlign w:val="center"/>
          </w:tcPr>
          <w:p w14:paraId="1E7B71F7">
            <w:pPr>
              <w:spacing w:line="360" w:lineRule="auto"/>
              <w:jc w:val="center"/>
              <w:rPr>
                <w:rFonts w:ascii="Times New Roman" w:hAnsi="Times New Roman" w:eastAsia="宋体" w:cs="Times New Roman"/>
                <w:sz w:val="24"/>
                <w:szCs w:val="24"/>
              </w:rPr>
            </w:pPr>
            <w:bookmarkStart w:id="0" w:name="_Hlk106213973"/>
            <w:r>
              <w:rPr>
                <w:rFonts w:ascii="Times New Roman" w:hAnsi="Times New Roman" w:eastAsia="宋体" w:cs="Times New Roman"/>
                <w:color w:val="000000"/>
                <w:sz w:val="24"/>
                <w:szCs w:val="24"/>
              </w:rPr>
              <w:t>维奈克拉联合米托蒽醌脂质体治疗复发难治急性髓系白血病的临床研究</w:t>
            </w:r>
            <w:bookmarkEnd w:id="0"/>
          </w:p>
        </w:tc>
        <w:tc>
          <w:tcPr>
            <w:tcW w:w="1650" w:type="dxa"/>
            <w:vAlign w:val="center"/>
          </w:tcPr>
          <w:p w14:paraId="00CFC303">
            <w:pPr>
              <w:spacing w:line="360" w:lineRule="auto"/>
              <w:jc w:val="center"/>
              <w:rPr>
                <w:rFonts w:ascii="Times New Roman" w:hAnsi="Times New Roman" w:eastAsia="宋体" w:cs="Times New Roman"/>
                <w:color w:val="000000"/>
                <w:sz w:val="24"/>
                <w:szCs w:val="24"/>
              </w:rPr>
            </w:pPr>
          </w:p>
        </w:tc>
      </w:tr>
      <w:tr w14:paraId="6482A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64F51D3C">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4</w:t>
            </w:r>
          </w:p>
        </w:tc>
        <w:tc>
          <w:tcPr>
            <w:tcW w:w="5955" w:type="dxa"/>
            <w:vAlign w:val="center"/>
          </w:tcPr>
          <w:p w14:paraId="2A6F80DB">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color w:val="000000"/>
                <w:kern w:val="0"/>
                <w:sz w:val="24"/>
                <w:szCs w:val="24"/>
                <w14:ligatures w14:val="none"/>
              </w:rPr>
              <w:t>评价 OB756 片在中、高危骨髓纤维化、真性红细胞增多症和原发性血小板增多症患者中的安全性、耐受性、药代动力学、药效学和初步有效性的 Ib/II 期临床研究</w:t>
            </w:r>
          </w:p>
        </w:tc>
        <w:tc>
          <w:tcPr>
            <w:tcW w:w="1650" w:type="dxa"/>
            <w:vAlign w:val="center"/>
          </w:tcPr>
          <w:p w14:paraId="12AF2748">
            <w:pPr>
              <w:widowControl/>
              <w:spacing w:line="360" w:lineRule="auto"/>
              <w:jc w:val="center"/>
              <w:rPr>
                <w:rFonts w:ascii="Times New Roman" w:hAnsi="Times New Roman" w:eastAsia="宋体" w:cs="Times New Roman"/>
                <w:color w:val="000000"/>
                <w:kern w:val="0"/>
                <w:sz w:val="24"/>
                <w:szCs w:val="24"/>
                <w14:ligatures w14:val="none"/>
              </w:rPr>
            </w:pPr>
            <w:r>
              <w:rPr>
                <w:rFonts w:hint="eastAsia" w:ascii="Times New Roman" w:hAnsi="Times New Roman" w:eastAsia="宋体" w:cs="Times New Roman"/>
                <w:color w:val="000000"/>
                <w:kern w:val="0"/>
                <w:sz w:val="24"/>
                <w:szCs w:val="24"/>
                <w14:ligatures w14:val="none"/>
              </w:rPr>
              <w:t>入组：4例</w:t>
            </w:r>
          </w:p>
        </w:tc>
      </w:tr>
      <w:tr w14:paraId="24C1C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02612DFA">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5</w:t>
            </w:r>
          </w:p>
        </w:tc>
        <w:tc>
          <w:tcPr>
            <w:tcW w:w="5955" w:type="dxa"/>
            <w:vAlign w:val="center"/>
          </w:tcPr>
          <w:p w14:paraId="652D8970">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color w:val="000000"/>
                <w:kern w:val="0"/>
                <w:sz w:val="24"/>
                <w:szCs w:val="24"/>
                <w14:ligatures w14:val="none"/>
              </w:rPr>
              <w:t>评价 CX1440 胶囊在治疗持续性或慢性原发免疫性血小板减少症 (ITP)成人患者中的安全性和疗效的 Ib/II 期临床研究</w:t>
            </w:r>
          </w:p>
        </w:tc>
        <w:tc>
          <w:tcPr>
            <w:tcW w:w="1650" w:type="dxa"/>
            <w:vAlign w:val="center"/>
          </w:tcPr>
          <w:p w14:paraId="1EFE81AE">
            <w:pPr>
              <w:widowControl/>
              <w:spacing w:line="360" w:lineRule="auto"/>
              <w:jc w:val="center"/>
              <w:rPr>
                <w:rFonts w:ascii="Times New Roman" w:hAnsi="Times New Roman" w:eastAsia="宋体" w:cs="Times New Roman"/>
                <w:color w:val="000000"/>
                <w:kern w:val="0"/>
                <w:sz w:val="24"/>
                <w:szCs w:val="24"/>
                <w14:ligatures w14:val="none"/>
              </w:rPr>
            </w:pPr>
            <w:r>
              <w:rPr>
                <w:rFonts w:hint="eastAsia" w:ascii="Times New Roman" w:hAnsi="Times New Roman" w:eastAsia="宋体" w:cs="Times New Roman"/>
                <w:color w:val="000000"/>
                <w:kern w:val="0"/>
                <w:sz w:val="24"/>
                <w:szCs w:val="24"/>
                <w14:ligatures w14:val="none"/>
              </w:rPr>
              <w:t>入组：4例</w:t>
            </w:r>
          </w:p>
        </w:tc>
      </w:tr>
      <w:tr w14:paraId="2DF66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382C5502">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6</w:t>
            </w:r>
          </w:p>
        </w:tc>
        <w:tc>
          <w:tcPr>
            <w:tcW w:w="5955" w:type="dxa"/>
            <w:vAlign w:val="center"/>
          </w:tcPr>
          <w:p w14:paraId="17C60C70">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XY0206片治疗FLT3-ITD突变的复发/难治性急性髓系白血病患者的随机、开放、挽救化疗对照、多中心Ⅲ期临床研究</w:t>
            </w:r>
          </w:p>
        </w:tc>
        <w:tc>
          <w:tcPr>
            <w:tcW w:w="1650" w:type="dxa"/>
            <w:vAlign w:val="center"/>
          </w:tcPr>
          <w:p w14:paraId="23D7EEF2">
            <w:pPr>
              <w:widowControl/>
              <w:spacing w:line="360" w:lineRule="auto"/>
              <w:jc w:val="center"/>
              <w:rPr>
                <w:rFonts w:ascii="Times New Roman" w:hAnsi="Times New Roman" w:eastAsia="宋体" w:cs="Times New Roman"/>
                <w:kern w:val="0"/>
                <w:sz w:val="24"/>
                <w:szCs w:val="24"/>
                <w14:ligatures w14:val="none"/>
              </w:rPr>
            </w:pPr>
          </w:p>
        </w:tc>
      </w:tr>
      <w:tr w14:paraId="1EE95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61D8069C">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7</w:t>
            </w:r>
          </w:p>
        </w:tc>
        <w:tc>
          <w:tcPr>
            <w:tcW w:w="5955" w:type="dxa"/>
            <w:vAlign w:val="center"/>
          </w:tcPr>
          <w:p w14:paraId="37828210">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评估甲磺酸氟马替尼片对照甲磺酸伊马替尼在初诊慢性髓性白血病慢性期患者中有效性和安全性的多中心真实世界研究</w:t>
            </w:r>
          </w:p>
        </w:tc>
        <w:tc>
          <w:tcPr>
            <w:tcW w:w="1650" w:type="dxa"/>
            <w:vAlign w:val="center"/>
          </w:tcPr>
          <w:p w14:paraId="24C46F2A">
            <w:pPr>
              <w:widowControl/>
              <w:spacing w:line="360" w:lineRule="auto"/>
              <w:jc w:val="center"/>
              <w:rPr>
                <w:rFonts w:ascii="Times New Roman" w:hAnsi="Times New Roman" w:eastAsia="宋体" w:cs="Times New Roman"/>
                <w:kern w:val="0"/>
                <w:sz w:val="24"/>
                <w:szCs w:val="24"/>
                <w14:ligatures w14:val="none"/>
              </w:rPr>
            </w:pPr>
            <w:r>
              <w:rPr>
                <w:rFonts w:hint="eastAsia" w:ascii="Times New Roman" w:hAnsi="Times New Roman" w:eastAsia="宋体" w:cs="Times New Roman"/>
                <w:color w:val="000000"/>
                <w:kern w:val="0"/>
                <w:sz w:val="24"/>
                <w:szCs w:val="24"/>
                <w14:ligatures w14:val="none"/>
              </w:rPr>
              <w:t>入组：11例</w:t>
            </w:r>
          </w:p>
        </w:tc>
      </w:tr>
      <w:tr w14:paraId="2F2CA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79FF734D">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8</w:t>
            </w:r>
          </w:p>
        </w:tc>
        <w:tc>
          <w:tcPr>
            <w:tcW w:w="5955" w:type="dxa"/>
            <w:vAlign w:val="center"/>
          </w:tcPr>
          <w:p w14:paraId="57F73779">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评价人凝血因子Ⅷ在治疗血友病A患者中的安全性和有效性上市后临床研究</w:t>
            </w:r>
          </w:p>
        </w:tc>
        <w:tc>
          <w:tcPr>
            <w:tcW w:w="1650" w:type="dxa"/>
            <w:vAlign w:val="center"/>
          </w:tcPr>
          <w:p w14:paraId="42180961">
            <w:pPr>
              <w:widowControl/>
              <w:spacing w:line="360" w:lineRule="auto"/>
              <w:jc w:val="center"/>
              <w:rPr>
                <w:rFonts w:ascii="Times New Roman" w:hAnsi="Times New Roman" w:eastAsia="宋体" w:cs="Times New Roman"/>
                <w:kern w:val="0"/>
                <w:sz w:val="24"/>
                <w:szCs w:val="24"/>
                <w14:ligatures w14:val="none"/>
              </w:rPr>
            </w:pPr>
            <w:r>
              <w:rPr>
                <w:rFonts w:hint="eastAsia" w:ascii="Times New Roman" w:hAnsi="Times New Roman" w:eastAsia="宋体" w:cs="Times New Roman"/>
                <w:color w:val="000000"/>
                <w:kern w:val="0"/>
                <w:sz w:val="24"/>
                <w:szCs w:val="24"/>
                <w14:ligatures w14:val="none"/>
              </w:rPr>
              <w:t>入组：7例</w:t>
            </w:r>
          </w:p>
        </w:tc>
      </w:tr>
      <w:tr w14:paraId="54821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5E4483EE">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9</w:t>
            </w:r>
          </w:p>
        </w:tc>
        <w:tc>
          <w:tcPr>
            <w:tcW w:w="5955" w:type="dxa"/>
            <w:vAlign w:val="center"/>
          </w:tcPr>
          <w:p w14:paraId="05861FE0">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评价邦瑞替尼片对照最佳可用疗法治疗羟基脲耐药或不耐受的真性红细胞增多症的有效性和安全性的开放、随机对照、多中心Ⅲ期临床研究（BEWELL-302研究）</w:t>
            </w:r>
          </w:p>
        </w:tc>
        <w:tc>
          <w:tcPr>
            <w:tcW w:w="1650" w:type="dxa"/>
            <w:vAlign w:val="center"/>
          </w:tcPr>
          <w:p w14:paraId="058182C2">
            <w:pPr>
              <w:widowControl/>
              <w:spacing w:line="360" w:lineRule="auto"/>
              <w:jc w:val="center"/>
              <w:rPr>
                <w:rFonts w:ascii="Times New Roman" w:hAnsi="Times New Roman" w:eastAsia="宋体" w:cs="Times New Roman"/>
                <w:kern w:val="0"/>
                <w:sz w:val="24"/>
                <w:szCs w:val="24"/>
                <w14:ligatures w14:val="none"/>
              </w:rPr>
            </w:pPr>
          </w:p>
        </w:tc>
      </w:tr>
      <w:tr w14:paraId="0B0D0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1CC6087A">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10</w:t>
            </w:r>
          </w:p>
        </w:tc>
        <w:tc>
          <w:tcPr>
            <w:tcW w:w="5955" w:type="dxa"/>
            <w:vAlign w:val="center"/>
          </w:tcPr>
          <w:p w14:paraId="743FE511">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小剂量沙利度胺治疗输血依赖型β地中海贫血多中心、随机、双盲、平行、安慰剂对照临床试验</w:t>
            </w:r>
          </w:p>
        </w:tc>
        <w:tc>
          <w:tcPr>
            <w:tcW w:w="1650" w:type="dxa"/>
            <w:vAlign w:val="center"/>
          </w:tcPr>
          <w:p w14:paraId="5243B895">
            <w:pPr>
              <w:widowControl/>
              <w:spacing w:line="360" w:lineRule="auto"/>
              <w:jc w:val="center"/>
              <w:rPr>
                <w:rFonts w:ascii="Times New Roman" w:hAnsi="Times New Roman" w:eastAsia="宋体" w:cs="Times New Roman"/>
                <w:kern w:val="0"/>
                <w:sz w:val="24"/>
                <w:szCs w:val="24"/>
                <w14:ligatures w14:val="none"/>
              </w:rPr>
            </w:pPr>
          </w:p>
        </w:tc>
      </w:tr>
      <w:tr w14:paraId="0B23A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0E9C41E8">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11</w:t>
            </w:r>
          </w:p>
        </w:tc>
        <w:tc>
          <w:tcPr>
            <w:tcW w:w="5955" w:type="dxa"/>
            <w:vAlign w:val="center"/>
          </w:tcPr>
          <w:p w14:paraId="1B991369">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低深度基因组测序检测拷贝数变异评估AML患者预后的多中心临床试验</w:t>
            </w:r>
          </w:p>
        </w:tc>
        <w:tc>
          <w:tcPr>
            <w:tcW w:w="1650" w:type="dxa"/>
            <w:vAlign w:val="center"/>
          </w:tcPr>
          <w:p w14:paraId="5A8A6A7A">
            <w:pPr>
              <w:widowControl/>
              <w:spacing w:line="360" w:lineRule="auto"/>
              <w:jc w:val="center"/>
              <w:rPr>
                <w:rFonts w:ascii="Times New Roman" w:hAnsi="Times New Roman" w:eastAsia="宋体" w:cs="Times New Roman"/>
                <w:kern w:val="0"/>
                <w:sz w:val="24"/>
                <w:szCs w:val="24"/>
                <w14:ligatures w14:val="none"/>
              </w:rPr>
            </w:pPr>
            <w:r>
              <w:rPr>
                <w:rFonts w:hint="eastAsia" w:ascii="Times New Roman" w:hAnsi="Times New Roman" w:eastAsia="宋体" w:cs="Times New Roman"/>
                <w:color w:val="000000"/>
                <w:kern w:val="0"/>
                <w:sz w:val="24"/>
                <w:szCs w:val="24"/>
                <w14:ligatures w14:val="none"/>
              </w:rPr>
              <w:t>入组：4例</w:t>
            </w:r>
          </w:p>
        </w:tc>
      </w:tr>
      <w:tr w14:paraId="77FB0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70EA8FBD">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12</w:t>
            </w:r>
          </w:p>
        </w:tc>
        <w:tc>
          <w:tcPr>
            <w:tcW w:w="5955" w:type="dxa"/>
            <w:vAlign w:val="center"/>
          </w:tcPr>
          <w:p w14:paraId="71992A70">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注射用两性霉素 B 胆固醇硫酸酯复合物（安复利克</w:t>
            </w:r>
            <w:r>
              <w:rPr>
                <w:rFonts w:ascii="Times New Roman" w:hAnsi="Times New Roman" w:eastAsia="宋体" w:cs="Times New Roman"/>
                <w:kern w:val="0"/>
                <w:sz w:val="24"/>
                <w:szCs w:val="24"/>
                <w:vertAlign w:val="superscript"/>
                <w14:ligatures w14:val="none"/>
              </w:rPr>
              <w:t>®</w:t>
            </w:r>
            <w:r>
              <w:rPr>
                <w:rFonts w:ascii="Times New Roman" w:hAnsi="Times New Roman" w:eastAsia="宋体" w:cs="Times New Roman"/>
                <w:kern w:val="0"/>
                <w:sz w:val="24"/>
                <w:szCs w:val="24"/>
                <w14:ligatures w14:val="none"/>
              </w:rPr>
              <w:t>）经验一线治疗侵袭性真菌病患者疗效及安全性的临床研究</w:t>
            </w:r>
          </w:p>
        </w:tc>
        <w:tc>
          <w:tcPr>
            <w:tcW w:w="1650" w:type="dxa"/>
            <w:vAlign w:val="center"/>
          </w:tcPr>
          <w:p w14:paraId="1BFDF05E">
            <w:pPr>
              <w:widowControl/>
              <w:spacing w:line="360" w:lineRule="auto"/>
              <w:jc w:val="center"/>
              <w:rPr>
                <w:rFonts w:ascii="Times New Roman" w:hAnsi="Times New Roman" w:eastAsia="宋体" w:cs="Times New Roman"/>
                <w:kern w:val="0"/>
                <w:sz w:val="24"/>
                <w:szCs w:val="24"/>
                <w14:ligatures w14:val="none"/>
              </w:rPr>
            </w:pPr>
            <w:r>
              <w:rPr>
                <w:rFonts w:hint="eastAsia" w:ascii="Times New Roman" w:hAnsi="Times New Roman" w:eastAsia="宋体" w:cs="Times New Roman"/>
                <w:color w:val="000000"/>
                <w:kern w:val="0"/>
                <w:sz w:val="24"/>
                <w:szCs w:val="24"/>
                <w14:ligatures w14:val="none"/>
              </w:rPr>
              <w:t>入组：9例</w:t>
            </w:r>
          </w:p>
        </w:tc>
      </w:tr>
      <w:tr w14:paraId="0BBEA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7515E076">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13</w:t>
            </w:r>
          </w:p>
        </w:tc>
        <w:tc>
          <w:tcPr>
            <w:tcW w:w="5955" w:type="dxa"/>
            <w:vAlign w:val="center"/>
          </w:tcPr>
          <w:p w14:paraId="6351142A">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塞替派联合白消安、氟达拉滨和阿糖胞苷强化预处理异基因造血干细胞移植治疗伴髓外病变的髓系肿瘤:单臂、前瞻性、多中心临床研究</w:t>
            </w:r>
          </w:p>
        </w:tc>
        <w:tc>
          <w:tcPr>
            <w:tcW w:w="1650" w:type="dxa"/>
            <w:vAlign w:val="center"/>
          </w:tcPr>
          <w:p w14:paraId="387F6E7E">
            <w:pPr>
              <w:widowControl/>
              <w:spacing w:line="360" w:lineRule="auto"/>
              <w:jc w:val="center"/>
              <w:rPr>
                <w:rFonts w:ascii="Times New Roman" w:hAnsi="Times New Roman" w:eastAsia="宋体" w:cs="Times New Roman"/>
                <w:kern w:val="0"/>
                <w:sz w:val="24"/>
                <w:szCs w:val="24"/>
                <w14:ligatures w14:val="none"/>
              </w:rPr>
            </w:pPr>
          </w:p>
        </w:tc>
      </w:tr>
      <w:tr w14:paraId="613F6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2CEA4EA2">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14</w:t>
            </w:r>
          </w:p>
        </w:tc>
        <w:tc>
          <w:tcPr>
            <w:tcW w:w="5955" w:type="dxa"/>
            <w:vAlign w:val="center"/>
          </w:tcPr>
          <w:p w14:paraId="33D75FB0">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评价静注人免疫球蛋白（10%）在成人及青少年中治疗原发免疫性血小板减少症（ITP）有效性和安全性的单臂、开放、多中心临床研究</w:t>
            </w:r>
          </w:p>
        </w:tc>
        <w:tc>
          <w:tcPr>
            <w:tcW w:w="1650" w:type="dxa"/>
            <w:vAlign w:val="center"/>
          </w:tcPr>
          <w:p w14:paraId="687EBDAC">
            <w:pPr>
              <w:widowControl/>
              <w:spacing w:line="360" w:lineRule="auto"/>
              <w:jc w:val="center"/>
              <w:rPr>
                <w:rFonts w:ascii="Times New Roman" w:hAnsi="Times New Roman" w:eastAsia="宋体" w:cs="Times New Roman"/>
                <w:kern w:val="0"/>
                <w:sz w:val="24"/>
                <w:szCs w:val="24"/>
                <w14:ligatures w14:val="none"/>
              </w:rPr>
            </w:pPr>
            <w:r>
              <w:rPr>
                <w:rFonts w:hint="eastAsia" w:ascii="Times New Roman" w:hAnsi="Times New Roman" w:eastAsia="宋体" w:cs="Times New Roman"/>
                <w:color w:val="000000"/>
                <w:kern w:val="0"/>
                <w:sz w:val="24"/>
                <w:szCs w:val="24"/>
                <w14:ligatures w14:val="none"/>
              </w:rPr>
              <w:t>入组：3例</w:t>
            </w:r>
          </w:p>
        </w:tc>
      </w:tr>
      <w:tr w14:paraId="68600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597BA6CF">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15</w:t>
            </w:r>
          </w:p>
        </w:tc>
        <w:tc>
          <w:tcPr>
            <w:tcW w:w="5955" w:type="dxa"/>
            <w:vAlign w:val="center"/>
          </w:tcPr>
          <w:p w14:paraId="77BB25EB">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瑞帕妥单抗治疗B细胞非霍奇金淋巴瘤患者的疗效及安全性真实世界研究</w:t>
            </w:r>
          </w:p>
        </w:tc>
        <w:tc>
          <w:tcPr>
            <w:tcW w:w="1650" w:type="dxa"/>
            <w:vAlign w:val="center"/>
          </w:tcPr>
          <w:p w14:paraId="61AA9697">
            <w:pPr>
              <w:widowControl/>
              <w:spacing w:line="360" w:lineRule="auto"/>
              <w:jc w:val="center"/>
              <w:rPr>
                <w:rFonts w:ascii="Times New Roman" w:hAnsi="Times New Roman" w:eastAsia="宋体" w:cs="Times New Roman"/>
                <w:kern w:val="0"/>
                <w:sz w:val="24"/>
                <w:szCs w:val="24"/>
                <w14:ligatures w14:val="none"/>
              </w:rPr>
            </w:pPr>
            <w:r>
              <w:rPr>
                <w:rFonts w:hint="eastAsia" w:ascii="Times New Roman" w:hAnsi="Times New Roman" w:eastAsia="宋体" w:cs="Times New Roman"/>
                <w:color w:val="000000"/>
                <w:kern w:val="0"/>
                <w:sz w:val="24"/>
                <w:szCs w:val="24"/>
                <w14:ligatures w14:val="none"/>
              </w:rPr>
              <w:t>入组：4例</w:t>
            </w:r>
          </w:p>
        </w:tc>
      </w:tr>
      <w:tr w14:paraId="29D21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45F40967">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16</w:t>
            </w:r>
          </w:p>
        </w:tc>
        <w:tc>
          <w:tcPr>
            <w:tcW w:w="5955" w:type="dxa"/>
            <w:vAlign w:val="center"/>
          </w:tcPr>
          <w:p w14:paraId="3E1997B3">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马来酸氟诺替尼片治疗中高危骨髓纤维化患者的有效性、安全性以及药代动力学的开放、阳性药对照、平行分组、多中心的Ⅱ期临床试验</w:t>
            </w:r>
          </w:p>
        </w:tc>
        <w:tc>
          <w:tcPr>
            <w:tcW w:w="1650" w:type="dxa"/>
            <w:vAlign w:val="center"/>
          </w:tcPr>
          <w:p w14:paraId="76DD7B5A">
            <w:pPr>
              <w:widowControl/>
              <w:spacing w:line="360" w:lineRule="auto"/>
              <w:jc w:val="center"/>
              <w:rPr>
                <w:rFonts w:ascii="Times New Roman" w:hAnsi="Times New Roman" w:eastAsia="宋体" w:cs="Times New Roman"/>
                <w:kern w:val="0"/>
                <w:sz w:val="24"/>
                <w:szCs w:val="24"/>
                <w14:ligatures w14:val="none"/>
              </w:rPr>
            </w:pPr>
          </w:p>
        </w:tc>
      </w:tr>
      <w:tr w14:paraId="17BA3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7BC60C82">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17</w:t>
            </w:r>
          </w:p>
        </w:tc>
        <w:tc>
          <w:tcPr>
            <w:tcW w:w="5955" w:type="dxa"/>
            <w:vAlign w:val="center"/>
          </w:tcPr>
          <w:p w14:paraId="77DAE0F1">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color w:val="000000"/>
                <w:kern w:val="0"/>
                <w:sz w:val="24"/>
                <w:szCs w:val="24"/>
                <w14:ligatures w14:val="none"/>
              </w:rPr>
              <w:t>一项在成人非输血依赖型β-地中海贫血受试者中评估9MW3011的安全性、耐受性、药代动力学、药效学、免疫原性的随机、双盲、安全剂对照、剂量递增设计的Ib期临床研究</w:t>
            </w:r>
          </w:p>
        </w:tc>
        <w:tc>
          <w:tcPr>
            <w:tcW w:w="1650" w:type="dxa"/>
            <w:vAlign w:val="center"/>
          </w:tcPr>
          <w:p w14:paraId="22F4785C">
            <w:pPr>
              <w:widowControl/>
              <w:spacing w:line="360" w:lineRule="auto"/>
              <w:jc w:val="center"/>
              <w:rPr>
                <w:rFonts w:ascii="Times New Roman" w:hAnsi="Times New Roman" w:eastAsia="宋体" w:cs="Times New Roman"/>
                <w:color w:val="000000"/>
                <w:kern w:val="0"/>
                <w:sz w:val="24"/>
                <w:szCs w:val="24"/>
                <w14:ligatures w14:val="none"/>
              </w:rPr>
            </w:pPr>
          </w:p>
        </w:tc>
      </w:tr>
      <w:tr w14:paraId="6A1A2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5CD6DE27">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18</w:t>
            </w:r>
          </w:p>
        </w:tc>
        <w:tc>
          <w:tcPr>
            <w:tcW w:w="5955" w:type="dxa"/>
            <w:vAlign w:val="center"/>
          </w:tcPr>
          <w:p w14:paraId="3A1553A9">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color w:val="000000"/>
                <w:kern w:val="0"/>
                <w:sz w:val="24"/>
                <w:szCs w:val="24"/>
                <w14:ligatures w14:val="none"/>
              </w:rPr>
              <w:t>评估TQB3473片对比安慰剂治疗成人原发免疫性血小板减少（ITP）有效性与安全性的随机、双盲、安慰剂对照、多中心III期临床试验</w:t>
            </w:r>
          </w:p>
        </w:tc>
        <w:tc>
          <w:tcPr>
            <w:tcW w:w="1650" w:type="dxa"/>
            <w:vAlign w:val="center"/>
          </w:tcPr>
          <w:p w14:paraId="5F375DE6">
            <w:pPr>
              <w:widowControl/>
              <w:spacing w:line="360" w:lineRule="auto"/>
              <w:jc w:val="center"/>
              <w:rPr>
                <w:rFonts w:ascii="Times New Roman" w:hAnsi="Times New Roman" w:eastAsia="宋体" w:cs="Times New Roman"/>
                <w:color w:val="000000"/>
                <w:kern w:val="0"/>
                <w:sz w:val="24"/>
                <w:szCs w:val="24"/>
                <w14:ligatures w14:val="none"/>
              </w:rPr>
            </w:pPr>
          </w:p>
        </w:tc>
      </w:tr>
      <w:tr w14:paraId="1DC0B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07B557E2">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19</w:t>
            </w:r>
          </w:p>
        </w:tc>
        <w:tc>
          <w:tcPr>
            <w:tcW w:w="5955" w:type="dxa"/>
            <w:vAlign w:val="center"/>
          </w:tcPr>
          <w:p w14:paraId="52F92AEE">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color w:val="000000"/>
                <w:kern w:val="0"/>
                <w:sz w:val="24"/>
                <w:szCs w:val="24"/>
                <w14:ligatures w14:val="none"/>
              </w:rPr>
              <w:t>一项在妊娠合并免疫性血小板减少症（ITP）成人患者中评价罗普司亭有效性和安全性的多中心 III期临床研究</w:t>
            </w:r>
          </w:p>
        </w:tc>
        <w:tc>
          <w:tcPr>
            <w:tcW w:w="1650" w:type="dxa"/>
            <w:vAlign w:val="center"/>
          </w:tcPr>
          <w:p w14:paraId="3BF0BE49">
            <w:pPr>
              <w:widowControl/>
              <w:spacing w:line="360" w:lineRule="auto"/>
              <w:jc w:val="center"/>
              <w:rPr>
                <w:rFonts w:ascii="Times New Roman" w:hAnsi="Times New Roman" w:eastAsia="宋体" w:cs="Times New Roman"/>
                <w:color w:val="000000"/>
                <w:kern w:val="0"/>
                <w:sz w:val="24"/>
                <w:szCs w:val="24"/>
                <w14:ligatures w14:val="none"/>
              </w:rPr>
            </w:pPr>
          </w:p>
        </w:tc>
      </w:tr>
      <w:tr w14:paraId="3F7C1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054BD609">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20</w:t>
            </w:r>
          </w:p>
        </w:tc>
        <w:tc>
          <w:tcPr>
            <w:tcW w:w="5955" w:type="dxa"/>
            <w:vAlign w:val="center"/>
          </w:tcPr>
          <w:p w14:paraId="495EBD68">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KPd 方案治疗初治高危 MM 或两疗程疗效不佳的难治性MM 的有效性与安全性临床研究</w:t>
            </w:r>
          </w:p>
        </w:tc>
        <w:tc>
          <w:tcPr>
            <w:tcW w:w="1650" w:type="dxa"/>
            <w:vAlign w:val="center"/>
          </w:tcPr>
          <w:p w14:paraId="52952A14">
            <w:pPr>
              <w:widowControl/>
              <w:spacing w:line="360" w:lineRule="auto"/>
              <w:jc w:val="center"/>
              <w:rPr>
                <w:rFonts w:ascii="Times New Roman" w:hAnsi="Times New Roman" w:eastAsia="宋体" w:cs="Times New Roman"/>
                <w:kern w:val="0"/>
                <w:sz w:val="24"/>
                <w:szCs w:val="24"/>
                <w14:ligatures w14:val="none"/>
              </w:rPr>
            </w:pPr>
          </w:p>
        </w:tc>
      </w:tr>
      <w:tr w14:paraId="4F9D6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17C9A53E">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21</w:t>
            </w:r>
          </w:p>
        </w:tc>
        <w:tc>
          <w:tcPr>
            <w:tcW w:w="5955" w:type="dxa"/>
            <w:vAlign w:val="center"/>
          </w:tcPr>
          <w:p w14:paraId="2DD4EDF4">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盐酸米托蒽醌脂质体联合利妥昔单抗、环磷酰胺、长春新碱和地塞米松（R-CMOD）在初治老年或unfit弥漫大B淋巴瘤的单臂、多中心、前瞻性研究</w:t>
            </w:r>
          </w:p>
        </w:tc>
        <w:tc>
          <w:tcPr>
            <w:tcW w:w="1650" w:type="dxa"/>
            <w:vAlign w:val="center"/>
          </w:tcPr>
          <w:p w14:paraId="5CB9667B">
            <w:pPr>
              <w:widowControl/>
              <w:spacing w:line="360" w:lineRule="auto"/>
              <w:jc w:val="center"/>
              <w:rPr>
                <w:rFonts w:ascii="Times New Roman" w:hAnsi="Times New Roman" w:eastAsia="宋体" w:cs="Times New Roman"/>
                <w:kern w:val="0"/>
                <w:sz w:val="24"/>
                <w:szCs w:val="24"/>
                <w14:ligatures w14:val="none"/>
              </w:rPr>
            </w:pPr>
          </w:p>
        </w:tc>
      </w:tr>
      <w:tr w14:paraId="17ABD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64E183C2">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22</w:t>
            </w:r>
          </w:p>
        </w:tc>
        <w:tc>
          <w:tcPr>
            <w:tcW w:w="5955" w:type="dxa"/>
            <w:vAlign w:val="center"/>
          </w:tcPr>
          <w:p w14:paraId="3A88A688">
            <w:pPr>
              <w:widowControl/>
              <w:spacing w:line="360" w:lineRule="auto"/>
              <w:jc w:val="center"/>
              <w:rPr>
                <w:rFonts w:ascii="Times New Roman" w:hAnsi="Times New Roman" w:eastAsia="宋体" w:cs="Times New Roman"/>
                <w:kern w:val="0"/>
                <w:sz w:val="24"/>
                <w:szCs w:val="24"/>
                <w14:ligatures w14:val="none"/>
              </w:rPr>
            </w:pPr>
            <w:r>
              <w:rPr>
                <w:rFonts w:ascii="Times New Roman" w:hAnsi="Times New Roman" w:eastAsia="宋体" w:cs="Times New Roman"/>
                <w:kern w:val="0"/>
                <w:sz w:val="24"/>
                <w:szCs w:val="24"/>
                <w14:ligatures w14:val="none"/>
              </w:rPr>
              <w:t>盐酸米托蒽醌脂质体注射液联合阿糖胞苷治疗初治继发性急性髓系白血病的单臂、前瞻性、探索性研究</w:t>
            </w:r>
          </w:p>
        </w:tc>
        <w:tc>
          <w:tcPr>
            <w:tcW w:w="1650" w:type="dxa"/>
            <w:vAlign w:val="center"/>
          </w:tcPr>
          <w:p w14:paraId="27698F51">
            <w:pPr>
              <w:widowControl/>
              <w:spacing w:line="360" w:lineRule="auto"/>
              <w:jc w:val="center"/>
              <w:rPr>
                <w:rFonts w:ascii="Times New Roman" w:hAnsi="Times New Roman" w:eastAsia="宋体" w:cs="Times New Roman"/>
                <w:kern w:val="0"/>
                <w:sz w:val="24"/>
                <w:szCs w:val="24"/>
                <w14:ligatures w14:val="none"/>
              </w:rPr>
            </w:pPr>
          </w:p>
        </w:tc>
      </w:tr>
    </w:tbl>
    <w:p w14:paraId="0B0773C1">
      <w:pPr>
        <w:widowControl/>
        <w:jc w:val="left"/>
        <w:rPr>
          <w:rFonts w:ascii="Times New Roman" w:hAnsi="Times New Roman" w:cs="Times New Roman"/>
          <w:sz w:val="24"/>
          <w:szCs w:val="24"/>
        </w:rPr>
      </w:pP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1D910E"/>
    <w:multiLevelType w:val="singleLevel"/>
    <w:tmpl w:val="8B1D910E"/>
    <w:lvl w:ilvl="0" w:tentative="0">
      <w:start w:val="1"/>
      <w:numFmt w:val="bullet"/>
      <w:lvlText w:val=""/>
      <w:lvlJc w:val="left"/>
      <w:pPr>
        <w:ind w:left="420" w:hanging="420"/>
      </w:pPr>
      <w:rPr>
        <w:rFonts w:hint="default" w:ascii="Wingdings" w:hAnsi="Wingdings"/>
      </w:rPr>
    </w:lvl>
  </w:abstractNum>
  <w:abstractNum w:abstractNumId="1">
    <w:nsid w:val="7A054D1F"/>
    <w:multiLevelType w:val="singleLevel"/>
    <w:tmpl w:val="7A054D1F"/>
    <w:lvl w:ilvl="0" w:tentative="0">
      <w:start w:val="1"/>
      <w:numFmt w:val="bullet"/>
      <w:lvlText w:val=""/>
      <w:lvlJc w:val="left"/>
      <w:pPr>
        <w:ind w:left="420" w:hanging="42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C4A"/>
    <w:rsid w:val="000264D6"/>
    <w:rsid w:val="00033958"/>
    <w:rsid w:val="00075C4A"/>
    <w:rsid w:val="00076F96"/>
    <w:rsid w:val="000F538A"/>
    <w:rsid w:val="000F7C5B"/>
    <w:rsid w:val="00170AD5"/>
    <w:rsid w:val="00210D22"/>
    <w:rsid w:val="00257C65"/>
    <w:rsid w:val="002823C8"/>
    <w:rsid w:val="003B6CB7"/>
    <w:rsid w:val="003D311E"/>
    <w:rsid w:val="004B4CB5"/>
    <w:rsid w:val="004C3334"/>
    <w:rsid w:val="00537588"/>
    <w:rsid w:val="00581523"/>
    <w:rsid w:val="005D4726"/>
    <w:rsid w:val="005E5315"/>
    <w:rsid w:val="0060642A"/>
    <w:rsid w:val="00625FDE"/>
    <w:rsid w:val="0064728A"/>
    <w:rsid w:val="00693A16"/>
    <w:rsid w:val="00695D8E"/>
    <w:rsid w:val="009238AA"/>
    <w:rsid w:val="009850A1"/>
    <w:rsid w:val="009C787A"/>
    <w:rsid w:val="00A14D24"/>
    <w:rsid w:val="00A2718E"/>
    <w:rsid w:val="00A44969"/>
    <w:rsid w:val="00A4520C"/>
    <w:rsid w:val="00A85998"/>
    <w:rsid w:val="00AD4F79"/>
    <w:rsid w:val="00B06C2B"/>
    <w:rsid w:val="00BD3F87"/>
    <w:rsid w:val="00C271D9"/>
    <w:rsid w:val="00C6620B"/>
    <w:rsid w:val="00CA5088"/>
    <w:rsid w:val="00CE5242"/>
    <w:rsid w:val="00D1756D"/>
    <w:rsid w:val="00D3790D"/>
    <w:rsid w:val="00D4188A"/>
    <w:rsid w:val="00DE6987"/>
    <w:rsid w:val="00E055D2"/>
    <w:rsid w:val="00E1242B"/>
    <w:rsid w:val="00E368D2"/>
    <w:rsid w:val="00E44C71"/>
    <w:rsid w:val="00E94885"/>
    <w:rsid w:val="00F61E10"/>
    <w:rsid w:val="00FA0D60"/>
    <w:rsid w:val="00FF6102"/>
    <w:rsid w:val="05385FB0"/>
    <w:rsid w:val="0B8F0315"/>
    <w:rsid w:val="0F601A19"/>
    <w:rsid w:val="11B86AA9"/>
    <w:rsid w:val="16D151C9"/>
    <w:rsid w:val="1C8D20B7"/>
    <w:rsid w:val="22695A59"/>
    <w:rsid w:val="22AE046B"/>
    <w:rsid w:val="27BF092E"/>
    <w:rsid w:val="446612A5"/>
    <w:rsid w:val="451945A3"/>
    <w:rsid w:val="49971F00"/>
    <w:rsid w:val="540D1026"/>
    <w:rsid w:val="61426593"/>
    <w:rsid w:val="61FA303A"/>
    <w:rsid w:val="6B803BEB"/>
    <w:rsid w:val="6BCF50DE"/>
    <w:rsid w:val="733E031E"/>
    <w:rsid w:val="76B86343"/>
    <w:rsid w:val="77AF5CBE"/>
    <w:rsid w:val="7E8672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styleId="2">
    <w:name w:val="heading 1"/>
    <w:basedOn w:val="1"/>
    <w:next w:val="1"/>
    <w:link w:val="19"/>
    <w:qFormat/>
    <w:uiPriority w:val="9"/>
    <w:pPr>
      <w:keepNext/>
      <w:keepLines/>
      <w:spacing w:before="480" w:after="80"/>
      <w:outlineLvl w:val="0"/>
    </w:pPr>
    <w:rPr>
      <w:rFonts w:asciiTheme="majorHAnsi" w:hAnsiTheme="majorHAnsi" w:eastAsiaTheme="majorEastAsia" w:cstheme="majorBidi"/>
      <w:color w:val="2E75B6" w:themeColor="accent1" w:themeShade="BF"/>
      <w:sz w:val="48"/>
      <w:szCs w:val="48"/>
    </w:rPr>
  </w:style>
  <w:style w:type="paragraph" w:styleId="3">
    <w:name w:val="heading 2"/>
    <w:basedOn w:val="1"/>
    <w:next w:val="1"/>
    <w:link w:val="20"/>
    <w:semiHidden/>
    <w:unhideWhenUsed/>
    <w:qFormat/>
    <w:uiPriority w:val="9"/>
    <w:pPr>
      <w:keepNext/>
      <w:keepLines/>
      <w:spacing w:before="160" w:after="80"/>
      <w:outlineLvl w:val="1"/>
    </w:pPr>
    <w:rPr>
      <w:rFonts w:asciiTheme="majorHAnsi" w:hAnsiTheme="majorHAnsi" w:eastAsiaTheme="majorEastAsia" w:cstheme="majorBidi"/>
      <w:color w:val="2E75B6" w:themeColor="accent1" w:themeShade="BF"/>
      <w:sz w:val="40"/>
      <w:szCs w:val="40"/>
    </w:rPr>
  </w:style>
  <w:style w:type="paragraph" w:styleId="4">
    <w:name w:val="heading 3"/>
    <w:basedOn w:val="1"/>
    <w:next w:val="1"/>
    <w:link w:val="21"/>
    <w:semiHidden/>
    <w:unhideWhenUsed/>
    <w:qFormat/>
    <w:uiPriority w:val="9"/>
    <w:pPr>
      <w:keepNext/>
      <w:keepLines/>
      <w:spacing w:before="160" w:after="80"/>
      <w:outlineLvl w:val="2"/>
    </w:pPr>
    <w:rPr>
      <w:rFonts w:asciiTheme="majorHAnsi" w:hAnsiTheme="majorHAnsi" w:eastAsiaTheme="majorEastAsia" w:cstheme="majorBidi"/>
      <w:color w:val="2E75B6" w:themeColor="accent1" w:themeShade="BF"/>
      <w:sz w:val="32"/>
      <w:szCs w:val="32"/>
    </w:rPr>
  </w:style>
  <w:style w:type="paragraph" w:styleId="5">
    <w:name w:val="heading 4"/>
    <w:basedOn w:val="1"/>
    <w:next w:val="1"/>
    <w:link w:val="22"/>
    <w:semiHidden/>
    <w:unhideWhenUsed/>
    <w:qFormat/>
    <w:uiPriority w:val="9"/>
    <w:pPr>
      <w:keepNext/>
      <w:keepLines/>
      <w:spacing w:before="80" w:after="40"/>
      <w:outlineLvl w:val="3"/>
    </w:pPr>
    <w:rPr>
      <w:rFonts w:cstheme="majorBidi"/>
      <w:color w:val="2E75B6" w:themeColor="accent1" w:themeShade="BF"/>
      <w:sz w:val="28"/>
      <w:szCs w:val="28"/>
    </w:rPr>
  </w:style>
  <w:style w:type="paragraph" w:styleId="6">
    <w:name w:val="heading 5"/>
    <w:basedOn w:val="1"/>
    <w:next w:val="1"/>
    <w:link w:val="23"/>
    <w:semiHidden/>
    <w:unhideWhenUsed/>
    <w:qFormat/>
    <w:uiPriority w:val="9"/>
    <w:pPr>
      <w:keepNext/>
      <w:keepLines/>
      <w:spacing w:before="80" w:after="40"/>
      <w:outlineLvl w:val="4"/>
    </w:pPr>
    <w:rPr>
      <w:rFonts w:cstheme="majorBidi"/>
      <w:color w:val="2E75B6" w:themeColor="accent1" w:themeShade="BF"/>
      <w:sz w:val="24"/>
      <w:szCs w:val="24"/>
    </w:rPr>
  </w:style>
  <w:style w:type="paragraph" w:styleId="7">
    <w:name w:val="heading 6"/>
    <w:basedOn w:val="1"/>
    <w:next w:val="1"/>
    <w:link w:val="24"/>
    <w:semiHidden/>
    <w:unhideWhenUsed/>
    <w:qFormat/>
    <w:uiPriority w:val="9"/>
    <w:pPr>
      <w:keepNext/>
      <w:keepLines/>
      <w:spacing w:before="40"/>
      <w:outlineLvl w:val="5"/>
    </w:pPr>
    <w:rPr>
      <w:rFonts w:cstheme="majorBidi"/>
      <w:b/>
      <w:bCs/>
      <w:color w:val="2E75B6" w:themeColor="accent1" w:themeShade="BF"/>
    </w:rPr>
  </w:style>
  <w:style w:type="paragraph" w:styleId="8">
    <w:name w:val="heading 7"/>
    <w:basedOn w:val="1"/>
    <w:next w:val="1"/>
    <w:link w:val="25"/>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6"/>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7"/>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8">
    <w:name w:val="Default Paragraph Font"/>
    <w:semiHidden/>
    <w:unhideWhenUsed/>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8"/>
    <w:unhideWhenUsed/>
    <w:qFormat/>
    <w:uiPriority w:val="99"/>
    <w:pPr>
      <w:tabs>
        <w:tab w:val="center" w:pos="4153"/>
        <w:tab w:val="right" w:pos="8306"/>
      </w:tabs>
      <w:snapToGrid w:val="0"/>
      <w:jc w:val="left"/>
    </w:pPr>
    <w:rPr>
      <w:sz w:val="18"/>
      <w:szCs w:val="18"/>
    </w:rPr>
  </w:style>
  <w:style w:type="paragraph" w:styleId="12">
    <w:name w:val="header"/>
    <w:basedOn w:val="1"/>
    <w:link w:val="37"/>
    <w:unhideWhenUsed/>
    <w:qFormat/>
    <w:uiPriority w:val="99"/>
    <w:pPr>
      <w:tabs>
        <w:tab w:val="center" w:pos="4153"/>
        <w:tab w:val="right" w:pos="8306"/>
      </w:tabs>
      <w:snapToGrid w:val="0"/>
      <w:jc w:val="center"/>
    </w:pPr>
    <w:rPr>
      <w:sz w:val="18"/>
      <w:szCs w:val="18"/>
    </w:rPr>
  </w:style>
  <w:style w:type="paragraph" w:styleId="13">
    <w:name w:val="Subtitle"/>
    <w:basedOn w:val="1"/>
    <w:next w:val="1"/>
    <w:link w:val="29"/>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5">
    <w:name w:val="Title"/>
    <w:basedOn w:val="1"/>
    <w:next w:val="1"/>
    <w:link w:val="28"/>
    <w:qFormat/>
    <w:uiPriority w:val="10"/>
    <w:pPr>
      <w:spacing w:after="80"/>
      <w:contextualSpacing/>
      <w:jc w:val="center"/>
    </w:pPr>
    <w:rPr>
      <w:rFonts w:asciiTheme="majorHAnsi" w:hAnsiTheme="majorHAnsi" w:eastAsiaTheme="majorEastAsia" w:cstheme="majorBidi"/>
      <w:spacing w:val="-10"/>
      <w:kern w:val="28"/>
      <w:sz w:val="56"/>
      <w:szCs w:val="56"/>
    </w:rPr>
  </w:style>
  <w:style w:type="table" w:styleId="17">
    <w:name w:val="Table Grid"/>
    <w:basedOn w:val="1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9">
    <w:name w:val="标题 1 字符"/>
    <w:basedOn w:val="18"/>
    <w:link w:val="2"/>
    <w:qFormat/>
    <w:uiPriority w:val="9"/>
    <w:rPr>
      <w:rFonts w:asciiTheme="majorHAnsi" w:hAnsiTheme="majorHAnsi" w:eastAsiaTheme="majorEastAsia" w:cstheme="majorBidi"/>
      <w:color w:val="2E75B6" w:themeColor="accent1" w:themeShade="BF"/>
      <w:sz w:val="48"/>
      <w:szCs w:val="48"/>
    </w:rPr>
  </w:style>
  <w:style w:type="character" w:customStyle="1" w:styleId="20">
    <w:name w:val="标题 2 字符"/>
    <w:basedOn w:val="18"/>
    <w:link w:val="3"/>
    <w:semiHidden/>
    <w:qFormat/>
    <w:uiPriority w:val="9"/>
    <w:rPr>
      <w:rFonts w:asciiTheme="majorHAnsi" w:hAnsiTheme="majorHAnsi" w:eastAsiaTheme="majorEastAsia" w:cstheme="majorBidi"/>
      <w:color w:val="2E75B6" w:themeColor="accent1" w:themeShade="BF"/>
      <w:sz w:val="40"/>
      <w:szCs w:val="40"/>
    </w:rPr>
  </w:style>
  <w:style w:type="character" w:customStyle="1" w:styleId="21">
    <w:name w:val="标题 3 字符"/>
    <w:basedOn w:val="18"/>
    <w:link w:val="4"/>
    <w:semiHidden/>
    <w:qFormat/>
    <w:uiPriority w:val="9"/>
    <w:rPr>
      <w:rFonts w:asciiTheme="majorHAnsi" w:hAnsiTheme="majorHAnsi" w:eastAsiaTheme="majorEastAsia" w:cstheme="majorBidi"/>
      <w:color w:val="2E75B6" w:themeColor="accent1" w:themeShade="BF"/>
      <w:sz w:val="32"/>
      <w:szCs w:val="32"/>
    </w:rPr>
  </w:style>
  <w:style w:type="character" w:customStyle="1" w:styleId="22">
    <w:name w:val="标题 4 字符"/>
    <w:basedOn w:val="18"/>
    <w:link w:val="5"/>
    <w:semiHidden/>
    <w:qFormat/>
    <w:uiPriority w:val="9"/>
    <w:rPr>
      <w:rFonts w:cstheme="majorBidi"/>
      <w:color w:val="2E75B6" w:themeColor="accent1" w:themeShade="BF"/>
      <w:sz w:val="28"/>
      <w:szCs w:val="28"/>
    </w:rPr>
  </w:style>
  <w:style w:type="character" w:customStyle="1" w:styleId="23">
    <w:name w:val="标题 5 字符"/>
    <w:basedOn w:val="18"/>
    <w:link w:val="6"/>
    <w:semiHidden/>
    <w:qFormat/>
    <w:uiPriority w:val="9"/>
    <w:rPr>
      <w:rFonts w:cstheme="majorBidi"/>
      <w:color w:val="2E75B6" w:themeColor="accent1" w:themeShade="BF"/>
      <w:sz w:val="24"/>
      <w:szCs w:val="24"/>
    </w:rPr>
  </w:style>
  <w:style w:type="character" w:customStyle="1" w:styleId="24">
    <w:name w:val="标题 6 字符"/>
    <w:basedOn w:val="18"/>
    <w:link w:val="7"/>
    <w:semiHidden/>
    <w:qFormat/>
    <w:uiPriority w:val="9"/>
    <w:rPr>
      <w:rFonts w:cstheme="majorBidi"/>
      <w:b/>
      <w:bCs/>
      <w:color w:val="2E75B6" w:themeColor="accent1" w:themeShade="BF"/>
    </w:rPr>
  </w:style>
  <w:style w:type="character" w:customStyle="1" w:styleId="25">
    <w:name w:val="标题 7 字符"/>
    <w:basedOn w:val="18"/>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6">
    <w:name w:val="标题 8 字符"/>
    <w:basedOn w:val="18"/>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7">
    <w:name w:val="标题 9 字符"/>
    <w:basedOn w:val="18"/>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8">
    <w:name w:val="标题 字符"/>
    <w:basedOn w:val="18"/>
    <w:link w:val="15"/>
    <w:qFormat/>
    <w:uiPriority w:val="10"/>
    <w:rPr>
      <w:rFonts w:asciiTheme="majorHAnsi" w:hAnsiTheme="majorHAnsi" w:eastAsiaTheme="majorEastAsia" w:cstheme="majorBidi"/>
      <w:spacing w:val="-10"/>
      <w:kern w:val="28"/>
      <w:sz w:val="56"/>
      <w:szCs w:val="56"/>
    </w:rPr>
  </w:style>
  <w:style w:type="character" w:customStyle="1" w:styleId="29">
    <w:name w:val="副标题 字符"/>
    <w:basedOn w:val="18"/>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0">
    <w:name w:val="Quote"/>
    <w:basedOn w:val="1"/>
    <w:next w:val="1"/>
    <w:link w:val="31"/>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1">
    <w:name w:val="引用 字符"/>
    <w:basedOn w:val="18"/>
    <w:link w:val="30"/>
    <w:qFormat/>
    <w:uiPriority w:val="29"/>
    <w:rPr>
      <w:i/>
      <w:iCs/>
      <w:color w:val="404040" w:themeColor="text1" w:themeTint="BF"/>
      <w14:textFill>
        <w14:solidFill>
          <w14:schemeClr w14:val="tx1">
            <w14:lumMod w14:val="75000"/>
            <w14:lumOff w14:val="25000"/>
          </w14:schemeClr>
        </w14:solidFill>
      </w14:textFill>
    </w:rPr>
  </w:style>
  <w:style w:type="paragraph" w:styleId="32">
    <w:name w:val="List Paragraph"/>
    <w:basedOn w:val="1"/>
    <w:qFormat/>
    <w:uiPriority w:val="34"/>
    <w:pPr>
      <w:ind w:left="720"/>
      <w:contextualSpacing/>
    </w:pPr>
  </w:style>
  <w:style w:type="character" w:customStyle="1" w:styleId="33">
    <w:name w:val="明显强调1"/>
    <w:basedOn w:val="18"/>
    <w:qFormat/>
    <w:uiPriority w:val="21"/>
    <w:rPr>
      <w:i/>
      <w:iCs/>
      <w:color w:val="2E75B6" w:themeColor="accent1" w:themeShade="BF"/>
    </w:rPr>
  </w:style>
  <w:style w:type="paragraph" w:styleId="34">
    <w:name w:val="Intense Quote"/>
    <w:basedOn w:val="1"/>
    <w:next w:val="1"/>
    <w:link w:val="35"/>
    <w:qFormat/>
    <w:uiPriority w:val="30"/>
    <w:pPr>
      <w:pBdr>
        <w:top w:val="single" w:color="2E75B5" w:themeColor="accent1" w:themeShade="BF" w:sz="4" w:space="10"/>
        <w:bottom w:val="single" w:color="2E75B5" w:themeColor="accent1" w:themeShade="BF" w:sz="4" w:space="10"/>
      </w:pBdr>
      <w:spacing w:before="360" w:after="360"/>
      <w:ind w:left="864" w:right="864"/>
      <w:jc w:val="center"/>
    </w:pPr>
    <w:rPr>
      <w:i/>
      <w:iCs/>
      <w:color w:val="2E75B6" w:themeColor="accent1" w:themeShade="BF"/>
    </w:rPr>
  </w:style>
  <w:style w:type="character" w:customStyle="1" w:styleId="35">
    <w:name w:val="明显引用 字符"/>
    <w:basedOn w:val="18"/>
    <w:link w:val="34"/>
    <w:qFormat/>
    <w:uiPriority w:val="30"/>
    <w:rPr>
      <w:i/>
      <w:iCs/>
      <w:color w:val="2E75B6" w:themeColor="accent1" w:themeShade="BF"/>
    </w:rPr>
  </w:style>
  <w:style w:type="character" w:customStyle="1" w:styleId="36">
    <w:name w:val="明显参考1"/>
    <w:basedOn w:val="18"/>
    <w:qFormat/>
    <w:uiPriority w:val="32"/>
    <w:rPr>
      <w:b/>
      <w:bCs/>
      <w:smallCaps/>
      <w:color w:val="2E75B6" w:themeColor="accent1" w:themeShade="BF"/>
      <w:spacing w:val="5"/>
    </w:rPr>
  </w:style>
  <w:style w:type="character" w:customStyle="1" w:styleId="37">
    <w:name w:val="页眉 字符"/>
    <w:basedOn w:val="18"/>
    <w:link w:val="12"/>
    <w:qFormat/>
    <w:uiPriority w:val="99"/>
    <w:rPr>
      <w:sz w:val="18"/>
      <w:szCs w:val="18"/>
    </w:rPr>
  </w:style>
  <w:style w:type="character" w:customStyle="1" w:styleId="38">
    <w:name w:val="页脚 字符"/>
    <w:basedOn w:val="18"/>
    <w:link w:val="11"/>
    <w:qFormat/>
    <w:uiPriority w:val="99"/>
    <w:rPr>
      <w:sz w:val="18"/>
      <w:szCs w:val="18"/>
    </w:rPr>
  </w:style>
  <w:style w:type="character" w:customStyle="1" w:styleId="39">
    <w:name w:val="NormalCharacter"/>
    <w:autoRedefine/>
    <w:semiHidden/>
    <w:qFormat/>
    <w:uiPriority w:val="0"/>
    <w:rPr>
      <w:rFonts w:asciiTheme="minorHAnsi" w:hAnsiTheme="minorHAnsi" w:eastAsiaTheme="minorEastAsia" w:cstheme="minorBidi"/>
      <w:kern w:val="2"/>
      <w:sz w:val="21"/>
      <w:szCs w:val="22"/>
      <w:lang w:val="en-US" w:eastAsia="zh-CN" w:bidi="ar-SA"/>
      <w14:ligatures w14:val="standardContextua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2714</Words>
  <Characters>2908</Characters>
  <Lines>21</Lines>
  <Paragraphs>6</Paragraphs>
  <TotalTime>29</TotalTime>
  <ScaleCrop>false</ScaleCrop>
  <LinksUpToDate>false</LinksUpToDate>
  <CharactersWithSpaces>2937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2025-11-18T14:54:00Z</dcterms:created>
  <dc:creator>海燕 梁</dc:creator>
  <cp:lastModifiedBy>李倩</cp:lastModifiedBy>
  <dcterms:modified xsi:type="dcterms:W3CDTF">2025-11-21T06:59:10Z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749FF74DC2CF47DFA51E9A773670D1A6_13</vt:lpwstr>
  </property>
  <property fmtid="{D5CDD505-2E9C-101B-9397-08002B2CF9AE}" pid="4" name="KSOTemplateDocerSaveRecord">
    <vt:lpwstr>eyJoZGlkIjoiOWQ0YWI2NGY4YTdlODYyMzc3ZDI4NDhhMzVhNjBlNjIiLCJ1c2VySWQiOiIzMTM4MTI4NjIifQ==</vt:lpwstr>
  </property>
</Properties>
</file>