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9317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ajorEastAsia" w:hAnsiTheme="majorEastAsia" w:eastAsiaTheme="majorEastAsia" w:cstheme="majorEastAsia"/>
          <w:sz w:val="32"/>
          <w:szCs w:val="32"/>
          <w:lang w:eastAsia="zh-CN"/>
        </w:rPr>
      </w:pPr>
      <w:r>
        <w:rPr>
          <w:rFonts w:hint="eastAsia" w:asciiTheme="majorEastAsia" w:hAnsiTheme="majorEastAsia" w:eastAsiaTheme="majorEastAsia" w:cstheme="majorEastAsia"/>
          <w:sz w:val="32"/>
          <w:szCs w:val="32"/>
        </w:rPr>
        <w:t>消化</w:t>
      </w:r>
      <w:r>
        <w:rPr>
          <w:rFonts w:hint="eastAsia" w:asciiTheme="majorEastAsia" w:hAnsiTheme="majorEastAsia" w:eastAsiaTheme="majorEastAsia" w:cstheme="majorEastAsia"/>
          <w:sz w:val="32"/>
          <w:szCs w:val="32"/>
          <w:lang w:val="en-US" w:eastAsia="zh-CN"/>
        </w:rPr>
        <w:t>内科</w:t>
      </w:r>
      <w:bookmarkStart w:id="0" w:name="_GoBack"/>
      <w:bookmarkEnd w:id="0"/>
    </w:p>
    <w:p w14:paraId="5749835D">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ajorEastAsia" w:hAnsiTheme="majorEastAsia" w:eastAsiaTheme="majorEastAsia" w:cstheme="majorEastAsia"/>
          <w:sz w:val="32"/>
          <w:szCs w:val="32"/>
        </w:rPr>
      </w:pPr>
      <w:r>
        <w:rPr>
          <w:rStyle w:val="8"/>
          <w:rFonts w:hint="eastAsia" w:asciiTheme="majorEastAsia" w:hAnsiTheme="majorEastAsia" w:eastAsiaTheme="majorEastAsia" w:cstheme="majorEastAsia"/>
          <w:sz w:val="32"/>
          <w:szCs w:val="32"/>
        </w:rPr>
        <w:t>专业介绍</w:t>
      </w:r>
    </w:p>
    <w:p w14:paraId="0C26A1CF">
      <w:pPr>
        <w:keepNext w:val="0"/>
        <w:keepLines w:val="0"/>
        <w:pageBreakBefore w:val="0"/>
        <w:widowControl/>
        <w:kinsoku/>
        <w:wordWrap/>
        <w:overflowPunct/>
        <w:topLinePunct w:val="0"/>
        <w:autoSpaceDE/>
        <w:autoSpaceDN/>
        <w:bidi w:val="0"/>
        <w:adjustRightInd/>
        <w:snapToGrid/>
        <w:spacing w:before="180" w:beforeAutospacing="0" w:afterAutospacing="0"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auto"/>
          <w:kern w:val="0"/>
          <w:sz w:val="24"/>
          <w:szCs w:val="24"/>
        </w:rPr>
        <w:t>【科室概况】</w:t>
      </w:r>
    </w:p>
    <w:p w14:paraId="38500AB6">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消化内科病区始建于六十年代，为省级重点专科，是我院最早成立的专科之一，历史悠久，在粤西地区消化内科领域具有一定影响力，广泛开展消化病及消化内镜诊疗技术。2011年11月，引进粤西地区首台当今最先进的小肠镜—EVIS LUCERA 单气囊电子小肠镜 OLYMPUS SIF TYPE Q260，并投入使用，在粤西地区率先开展单气囊小肠镜诊疗技术，达到国内先进水平，该小肠镜的引进使用，为消化内科打造粤西地区肠道疾病诊疗龙头地位奠定坚实的基础，填补粤西地区空白。2011年，成功取得粤西地区首个由卫生部备案、中国医师协会消化分会命名的“胃食管反流病专病门诊”。2020年加入国家卫健委“中国脂肪肝数据管理中心建设项目”。2013年评上了省重点专科,2022年再次评为省重点专科,获第三届“广东医院最强科室推荐.2021非大湾区消化内科最强科室之一”，目前消化内科拥有一支医术精湛、技术雄厚的医疗队伍。</w:t>
      </w:r>
    </w:p>
    <w:p w14:paraId="3C6603F6">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科室配置日本奥林巴斯H-290型、奥林巴斯PXD-200高频电凝机、V70型电子胃肠镜检查系统、富士能EPS450型电子胃肠镜检查系统、以色列PillCam小肠胶囊式内镜检查系统及Cook公司6连环套扎器等胃肠道检查及治疗仪器、及富士能su9000超声内镜。</w:t>
      </w:r>
    </w:p>
    <w:p w14:paraId="4D3A0DE9">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消化内科擅长胃肠、肝胆、胰危重疑难病症复杂疾病及不明原因腹痛、呕吐、腹泻、出血、便秘、腹水及黄疸的内科治疗。在治疗消化道大出血、幽门螺旋杆菌感染、消化性溃疡，溃疡性结肠炎、肝硬化以及并发症、消化道肿瘤、急性胰腺炎等方面具有很高的治疗和抢救成功率，形成了本地区的特色学科，开展的内镜治疗项目，使许多原先需要手术治疗的疾病可以无需开刀就可以通过内镜微创的方法予以治疗，尤其是小肠镜技术填补了粤西地区的空白，内镜技术达到省内先进水平。</w:t>
      </w:r>
    </w:p>
    <w:p w14:paraId="2456C4A8">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rPr>
        <w:t>科室地址：广东省</w:t>
      </w:r>
      <w:r>
        <w:rPr>
          <w:rFonts w:hint="default" w:ascii="Times New Roman" w:hAnsi="Times New Roman" w:eastAsia="宋体" w:cs="Times New Roman"/>
          <w:b w:val="0"/>
          <w:bCs w:val="0"/>
          <w:sz w:val="24"/>
          <w:szCs w:val="24"/>
          <w:lang w:val="en-US" w:eastAsia="zh-CN"/>
        </w:rPr>
        <w:t>湛江市赤坎区源珠路236号湛江中心人民医院5号楼8楼</w:t>
      </w:r>
    </w:p>
    <w:p w14:paraId="09A68D0A">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专业人员数：</w:t>
      </w:r>
      <w:r>
        <w:rPr>
          <w:rFonts w:hint="default" w:ascii="Times New Roman" w:hAnsi="Times New Roman" w:eastAsia="宋体" w:cs="Times New Roman"/>
          <w:b w:val="0"/>
          <w:bCs w:val="0"/>
          <w:sz w:val="24"/>
          <w:szCs w:val="24"/>
          <w:lang w:val="en-US" w:eastAsia="zh-CN"/>
        </w:rPr>
        <w:t>4</w:t>
      </w:r>
      <w:r>
        <w:rPr>
          <w:rFonts w:hint="default" w:ascii="Times New Roman" w:hAnsi="Times New Roman" w:eastAsia="宋体" w:cs="Times New Roman"/>
          <w:b w:val="0"/>
          <w:bCs w:val="0"/>
          <w:sz w:val="24"/>
          <w:szCs w:val="24"/>
        </w:rPr>
        <w:t>0人</w:t>
      </w:r>
    </w:p>
    <w:p w14:paraId="0A482A50">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rPr>
        <w:t>病床数：</w:t>
      </w:r>
      <w:r>
        <w:rPr>
          <w:rFonts w:hint="default" w:ascii="Times New Roman" w:hAnsi="Times New Roman" w:eastAsia="宋体" w:cs="Times New Roman"/>
          <w:b w:val="0"/>
          <w:bCs w:val="0"/>
          <w:sz w:val="24"/>
          <w:szCs w:val="24"/>
          <w:lang w:val="en-US" w:eastAsia="zh-CN"/>
        </w:rPr>
        <w:t>60张</w:t>
      </w:r>
    </w:p>
    <w:p w14:paraId="4137652C">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rPr>
        <w:t>年门诊量：1</w:t>
      </w:r>
      <w:r>
        <w:rPr>
          <w:rFonts w:hint="default" w:ascii="Times New Roman" w:hAnsi="Times New Roman" w:eastAsia="宋体" w:cs="Times New Roman"/>
          <w:b w:val="0"/>
          <w:bCs w:val="0"/>
          <w:sz w:val="24"/>
          <w:szCs w:val="24"/>
          <w:lang w:val="en-US" w:eastAsia="zh-CN"/>
        </w:rPr>
        <w:t>0000余人次  住院人次：5000余人次</w:t>
      </w:r>
    </w:p>
    <w:p w14:paraId="613802C7">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联系电话（座机或手机）：0</w:t>
      </w:r>
      <w:r>
        <w:rPr>
          <w:rFonts w:hint="default" w:ascii="Times New Roman" w:hAnsi="Times New Roman" w:eastAsia="宋体" w:cs="Times New Roman"/>
          <w:b w:val="0"/>
          <w:bCs w:val="0"/>
          <w:sz w:val="24"/>
          <w:szCs w:val="24"/>
          <w:lang w:val="en-US" w:eastAsia="zh-CN"/>
        </w:rPr>
        <w:t>759-3157219</w:t>
      </w:r>
      <w:r>
        <w:rPr>
          <w:rFonts w:hint="default" w:ascii="Times New Roman" w:hAnsi="Times New Roman" w:eastAsia="宋体" w:cs="Times New Roman"/>
          <w:b w:val="0"/>
          <w:bCs w:val="0"/>
          <w:sz w:val="24"/>
          <w:szCs w:val="24"/>
        </w:rPr>
        <w:t>  邮箱：</w:t>
      </w:r>
      <w:r>
        <w:rPr>
          <w:rFonts w:hint="default" w:ascii="Times New Roman" w:hAnsi="Times New Roman" w:eastAsia="宋体" w:cs="Times New Roman"/>
          <w:b w:val="0"/>
          <w:bCs w:val="0"/>
          <w:kern w:val="0"/>
          <w:sz w:val="24"/>
          <w:szCs w:val="24"/>
          <w:lang w:val="en-US" w:eastAsia="zh-CN"/>
        </w:rPr>
        <w:t>13560535533@139.com</w:t>
      </w:r>
    </w:p>
    <w:p w14:paraId="550F9D3E">
      <w:pPr>
        <w:keepNext w:val="0"/>
        <w:keepLines w:val="0"/>
        <w:pageBreakBefore w:val="0"/>
        <w:kinsoku/>
        <w:wordWrap/>
        <w:overflowPunct/>
        <w:topLinePunct w:val="0"/>
        <w:autoSpaceDE/>
        <w:autoSpaceDN/>
        <w:bidi w:val="0"/>
        <w:adjustRightInd/>
        <w:snapToGrid/>
        <w:spacing w:before="180" w:beforeAutospacing="0" w:afterAutospacing="0"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auto"/>
          <w:kern w:val="0"/>
          <w:sz w:val="24"/>
          <w:szCs w:val="24"/>
        </w:rPr>
        <w:t>【技术团队】</w:t>
      </w:r>
    </w:p>
    <w:p w14:paraId="58E5329A">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sz w:val="24"/>
          <w:szCs w:val="24"/>
        </w:rPr>
        <w:t>消化学科医疗主系列共</w:t>
      </w:r>
      <w:r>
        <w:rPr>
          <w:rFonts w:hint="default" w:ascii="Times New Roman" w:hAnsi="Times New Roman" w:eastAsia="宋体" w:cs="Times New Roman"/>
          <w:sz w:val="24"/>
          <w:szCs w:val="24"/>
          <w:lang w:val="en-US" w:eastAsia="zh-CN"/>
        </w:rPr>
        <w:t>40</w:t>
      </w:r>
      <w:r>
        <w:rPr>
          <w:rFonts w:hint="default" w:ascii="Times New Roman" w:hAnsi="Times New Roman" w:eastAsia="宋体" w:cs="Times New Roman"/>
          <w:sz w:val="24"/>
          <w:szCs w:val="24"/>
        </w:rPr>
        <w:t>人，</w:t>
      </w:r>
      <w:r>
        <w:rPr>
          <w:rFonts w:hint="default" w:ascii="Times New Roman" w:hAnsi="Times New Roman" w:eastAsia="宋体" w:cs="Times New Roman"/>
          <w:b w:val="0"/>
          <w:bCs w:val="0"/>
          <w:sz w:val="24"/>
          <w:szCs w:val="24"/>
        </w:rPr>
        <w:t>博士</w:t>
      </w:r>
      <w:r>
        <w:rPr>
          <w:rFonts w:hint="default" w:ascii="Times New Roman" w:hAnsi="Times New Roman" w:eastAsia="宋体" w:cs="Times New Roman"/>
          <w:b w:val="0"/>
          <w:bCs w:val="0"/>
          <w:sz w:val="24"/>
          <w:szCs w:val="24"/>
          <w:lang w:val="en-US" w:eastAsia="zh-CN"/>
        </w:rPr>
        <w:t>1</w:t>
      </w:r>
      <w:r>
        <w:rPr>
          <w:rFonts w:hint="default" w:ascii="Times New Roman" w:hAnsi="Times New Roman" w:eastAsia="宋体" w:cs="Times New Roman"/>
          <w:b w:val="0"/>
          <w:bCs w:val="0"/>
          <w:sz w:val="24"/>
          <w:szCs w:val="24"/>
        </w:rPr>
        <w:t>人，</w:t>
      </w:r>
      <w:r>
        <w:rPr>
          <w:rFonts w:hint="default" w:ascii="Times New Roman" w:hAnsi="Times New Roman" w:eastAsia="宋体" w:cs="Times New Roman"/>
          <w:b w:val="0"/>
          <w:bCs w:val="0"/>
          <w:sz w:val="24"/>
          <w:szCs w:val="24"/>
          <w:lang w:val="en-US" w:eastAsia="zh-CN"/>
        </w:rPr>
        <w:t>硕士7人，</w:t>
      </w:r>
      <w:r>
        <w:rPr>
          <w:rFonts w:hint="default" w:ascii="Times New Roman" w:hAnsi="Times New Roman" w:eastAsia="宋体" w:cs="Times New Roman"/>
          <w:b w:val="0"/>
          <w:bCs w:val="0"/>
          <w:sz w:val="24"/>
          <w:szCs w:val="24"/>
        </w:rPr>
        <w:t>其中高级职称24人（正高</w:t>
      </w:r>
      <w:r>
        <w:rPr>
          <w:rFonts w:hint="default" w:ascii="Times New Roman" w:hAnsi="Times New Roman" w:eastAsia="宋体" w:cs="Times New Roman"/>
          <w:b w:val="0"/>
          <w:bCs w:val="0"/>
          <w:sz w:val="24"/>
          <w:szCs w:val="24"/>
          <w:lang w:val="en-US" w:eastAsia="zh-CN"/>
        </w:rPr>
        <w:t>6</w:t>
      </w:r>
      <w:r>
        <w:rPr>
          <w:rFonts w:hint="default" w:ascii="Times New Roman" w:hAnsi="Times New Roman" w:eastAsia="宋体" w:cs="Times New Roman"/>
          <w:b w:val="0"/>
          <w:bCs w:val="0"/>
          <w:sz w:val="24"/>
          <w:szCs w:val="24"/>
        </w:rPr>
        <w:t>人、副高</w:t>
      </w:r>
      <w:r>
        <w:rPr>
          <w:rFonts w:hint="default" w:ascii="Times New Roman" w:hAnsi="Times New Roman" w:eastAsia="宋体" w:cs="Times New Roman"/>
          <w:b w:val="0"/>
          <w:bCs w:val="0"/>
          <w:sz w:val="24"/>
          <w:szCs w:val="24"/>
          <w:lang w:val="en-US" w:eastAsia="zh-CN"/>
        </w:rPr>
        <w:t>10</w:t>
      </w:r>
      <w:r>
        <w:rPr>
          <w:rFonts w:hint="default" w:ascii="Times New Roman" w:hAnsi="Times New Roman" w:eastAsia="宋体" w:cs="Times New Roman"/>
          <w:b w:val="0"/>
          <w:bCs w:val="0"/>
          <w:sz w:val="24"/>
          <w:szCs w:val="24"/>
        </w:rPr>
        <w:t>人），</w:t>
      </w:r>
      <w:r>
        <w:rPr>
          <w:rFonts w:hint="default" w:ascii="Times New Roman" w:hAnsi="Times New Roman" w:eastAsia="宋体" w:cs="Times New Roman"/>
          <w:b w:val="0"/>
          <w:bCs w:val="0"/>
          <w:sz w:val="24"/>
          <w:szCs w:val="24"/>
          <w:lang w:val="en-US" w:eastAsia="zh-CN"/>
        </w:rPr>
        <w:t>医学会全国委员1人，</w:t>
      </w:r>
      <w:r>
        <w:rPr>
          <w:rFonts w:hint="default" w:ascii="Times New Roman" w:hAnsi="Times New Roman" w:eastAsia="宋体" w:cs="Times New Roman"/>
          <w:b w:val="0"/>
          <w:bCs w:val="0"/>
          <w:sz w:val="24"/>
          <w:szCs w:val="24"/>
        </w:rPr>
        <w:t>省级学会</w:t>
      </w:r>
      <w:r>
        <w:rPr>
          <w:rFonts w:hint="default" w:ascii="Times New Roman" w:hAnsi="Times New Roman" w:eastAsia="宋体" w:cs="Times New Roman"/>
          <w:b w:val="0"/>
          <w:bCs w:val="0"/>
          <w:sz w:val="24"/>
          <w:szCs w:val="24"/>
          <w:lang w:val="en-US" w:eastAsia="zh-CN"/>
        </w:rPr>
        <w:t>副</w:t>
      </w:r>
      <w:r>
        <w:rPr>
          <w:rFonts w:hint="default" w:ascii="Times New Roman" w:hAnsi="Times New Roman" w:eastAsia="宋体" w:cs="Times New Roman"/>
          <w:b w:val="0"/>
          <w:bCs w:val="0"/>
          <w:sz w:val="24"/>
          <w:szCs w:val="24"/>
        </w:rPr>
        <w:t>主委</w:t>
      </w:r>
      <w:r>
        <w:rPr>
          <w:rFonts w:hint="default" w:ascii="Times New Roman" w:hAnsi="Times New Roman" w:eastAsia="宋体" w:cs="Times New Roman"/>
          <w:b w:val="0"/>
          <w:bCs w:val="0"/>
          <w:sz w:val="24"/>
          <w:szCs w:val="24"/>
          <w:lang w:val="en-US" w:eastAsia="zh-CN"/>
        </w:rPr>
        <w:t>1</w:t>
      </w:r>
      <w:r>
        <w:rPr>
          <w:rFonts w:hint="default" w:ascii="Times New Roman" w:hAnsi="Times New Roman" w:eastAsia="宋体" w:cs="Times New Roman"/>
          <w:b w:val="0"/>
          <w:bCs w:val="0"/>
          <w:sz w:val="24"/>
          <w:szCs w:val="24"/>
        </w:rPr>
        <w:t>人，</w:t>
      </w:r>
      <w:r>
        <w:rPr>
          <w:rFonts w:hint="default" w:ascii="Times New Roman" w:hAnsi="Times New Roman" w:eastAsia="宋体" w:cs="Times New Roman"/>
          <w:b w:val="0"/>
          <w:bCs w:val="0"/>
          <w:sz w:val="24"/>
          <w:szCs w:val="24"/>
          <w:lang w:val="en-US" w:eastAsia="zh-CN"/>
        </w:rPr>
        <w:t>市级学会正、副主</w:t>
      </w:r>
      <w:r>
        <w:rPr>
          <w:rFonts w:hint="default" w:ascii="Times New Roman" w:hAnsi="Times New Roman" w:eastAsia="宋体" w:cs="Times New Roman"/>
          <w:b w:val="0"/>
          <w:bCs w:val="0"/>
          <w:sz w:val="24"/>
          <w:szCs w:val="24"/>
        </w:rPr>
        <w:t>委</w:t>
      </w:r>
      <w:r>
        <w:rPr>
          <w:rFonts w:hint="default" w:ascii="Times New Roman" w:hAnsi="Times New Roman" w:eastAsia="宋体" w:cs="Times New Roman"/>
          <w:b w:val="0"/>
          <w:bCs w:val="0"/>
          <w:sz w:val="24"/>
          <w:szCs w:val="24"/>
          <w:lang w:val="en-US" w:eastAsia="zh-CN"/>
        </w:rPr>
        <w:t>2</w:t>
      </w:r>
      <w:r>
        <w:rPr>
          <w:rFonts w:hint="default" w:ascii="Times New Roman" w:hAnsi="Times New Roman" w:eastAsia="宋体" w:cs="Times New Roman"/>
          <w:b w:val="0"/>
          <w:bCs w:val="0"/>
          <w:sz w:val="24"/>
          <w:szCs w:val="24"/>
        </w:rPr>
        <w:t>人。</w:t>
      </w:r>
    </w:p>
    <w:p w14:paraId="72B4328B">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【专科优势】</w:t>
      </w:r>
    </w:p>
    <w:p w14:paraId="7BCE30EB">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18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消化性溃疡出血电凝、钛夹、注射止血术</w:t>
      </w:r>
    </w:p>
    <w:p w14:paraId="011F857A">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小肠镜检查</w:t>
      </w:r>
    </w:p>
    <w:p w14:paraId="3E0BF0A4">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小肠胶囊内镜检查</w:t>
      </w:r>
    </w:p>
    <w:p w14:paraId="6F3E3199">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食管静脉曲张套扎、硬化剂治疗与胃底静脉曲张组织粘合胶治疗</w:t>
      </w:r>
    </w:p>
    <w:p w14:paraId="6E035506">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无痛及常规电子胃肠镜检查</w:t>
      </w:r>
    </w:p>
    <w:p w14:paraId="2868B9CD">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小儿胃肠镜诊疗术</w:t>
      </w:r>
    </w:p>
    <w:p w14:paraId="4CF20367">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食管息肉及白斑、Barrett’s食管高频微波灼除术</w:t>
      </w:r>
    </w:p>
    <w:p w14:paraId="38DC8C98">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胃息肉及白斑、慢性隆起糜烂性胃炎高频微波灼除术</w:t>
      </w:r>
    </w:p>
    <w:p w14:paraId="76EFBA6B">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胃食管异物取出术</w:t>
      </w:r>
    </w:p>
    <w:p w14:paraId="72B87F9A">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内镜下止血术（钛夹、氩气凝固、注射、硬化剂等）</w:t>
      </w:r>
    </w:p>
    <w:p w14:paraId="53BD982B">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大肠息肉高频微波灼除术</w:t>
      </w:r>
    </w:p>
    <w:p w14:paraId="17647FC4">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超声内镜下胰腺穿刺治疗术</w:t>
      </w:r>
    </w:p>
    <w:p w14:paraId="2BB385D8">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食管狭窄扩张治疗</w:t>
      </w:r>
    </w:p>
    <w:p w14:paraId="205D8C03">
      <w:pPr>
        <w:pStyle w:val="4"/>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Autospacing="0" w:line="360" w:lineRule="auto"/>
        <w:ind w:left="420" w:leftChars="0" w:hanging="420" w:firstLineChars="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胃幽门螺杆菌的多种方法检测</w:t>
      </w:r>
    </w:p>
    <w:p w14:paraId="83B25603">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【常见病种】</w:t>
      </w:r>
    </w:p>
    <w:p w14:paraId="2D9FD782">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上消化道出血</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年门急诊量约300人次</w:t>
      </w:r>
      <w:r>
        <w:rPr>
          <w:rFonts w:hint="eastAsia" w:ascii="Times New Roman" w:hAnsi="Times New Roman" w:cs="Times New Roman"/>
          <w:sz w:val="24"/>
          <w:szCs w:val="24"/>
          <w:lang w:val="en-US" w:eastAsia="zh-CN"/>
        </w:rPr>
        <w:t>；</w:t>
      </w:r>
    </w:p>
    <w:p w14:paraId="E7678601">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胃食管反流病</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年门诊量约2000人次</w:t>
      </w:r>
      <w:r>
        <w:rPr>
          <w:rFonts w:hint="eastAsia" w:ascii="Times New Roman" w:hAnsi="Times New Roman" w:cs="Times New Roman"/>
          <w:sz w:val="24"/>
          <w:szCs w:val="24"/>
          <w:lang w:val="en-US" w:eastAsia="zh-CN"/>
        </w:rPr>
        <w:t>；</w:t>
      </w:r>
    </w:p>
    <w:p w14:paraId="90DBAE3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溃疡性结肠炎</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 100人次</w:t>
      </w:r>
      <w:r>
        <w:rPr>
          <w:rFonts w:hint="eastAsia" w:ascii="Times New Roman" w:hAnsi="Times New Roman" w:cs="Times New Roman"/>
          <w:sz w:val="24"/>
          <w:szCs w:val="24"/>
          <w:lang w:val="en-US" w:eastAsia="zh-CN"/>
        </w:rPr>
        <w:t>；</w:t>
      </w:r>
    </w:p>
    <w:p w14:paraId="1E88AF0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消化性溃疡</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 600人次</w:t>
      </w:r>
      <w:r>
        <w:rPr>
          <w:rFonts w:hint="eastAsia" w:ascii="Times New Roman" w:hAnsi="Times New Roman" w:cs="Times New Roman"/>
          <w:sz w:val="24"/>
          <w:szCs w:val="24"/>
          <w:lang w:val="en-US" w:eastAsia="zh-CN"/>
        </w:rPr>
        <w:t>；</w:t>
      </w:r>
    </w:p>
    <w:p w14:paraId="2F5E662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慢性胃炎</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 8000人次</w:t>
      </w:r>
      <w:r>
        <w:rPr>
          <w:rFonts w:hint="eastAsia" w:ascii="Times New Roman" w:hAnsi="Times New Roman" w:cs="Times New Roman"/>
          <w:sz w:val="24"/>
          <w:szCs w:val="24"/>
          <w:lang w:val="en-US" w:eastAsia="zh-CN"/>
        </w:rPr>
        <w:t>；</w:t>
      </w:r>
    </w:p>
    <w:p w14:paraId="1FC457D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left="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胃肠息肉</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 1000人次</w:t>
      </w:r>
      <w:r>
        <w:rPr>
          <w:rFonts w:hint="eastAsia" w:ascii="Times New Roman" w:hAnsi="Times New Roman" w:cs="Times New Roman"/>
          <w:sz w:val="24"/>
          <w:szCs w:val="24"/>
          <w:lang w:val="en-US" w:eastAsia="zh-CN"/>
        </w:rPr>
        <w:t>；</w:t>
      </w:r>
    </w:p>
    <w:p w14:paraId="00D301A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肠功能紊乱（便秘、腹泻）</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 2000人次</w:t>
      </w:r>
      <w:r>
        <w:rPr>
          <w:rFonts w:hint="eastAsia" w:ascii="Times New Roman" w:hAnsi="Times New Roman" w:cs="Times New Roman"/>
          <w:sz w:val="24"/>
          <w:szCs w:val="24"/>
          <w:lang w:val="en-US" w:eastAsia="zh-CN"/>
        </w:rPr>
        <w:t>；</w:t>
      </w:r>
    </w:p>
    <w:p w14:paraId="68FDA5F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肝硬化</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 50人次</w:t>
      </w:r>
      <w:r>
        <w:rPr>
          <w:rFonts w:hint="eastAsia" w:ascii="Times New Roman" w:hAnsi="Times New Roman" w:cs="Times New Roman"/>
          <w:sz w:val="24"/>
          <w:szCs w:val="24"/>
          <w:lang w:val="en-US" w:eastAsia="zh-CN"/>
        </w:rPr>
        <w:t>；</w:t>
      </w:r>
    </w:p>
    <w:p w14:paraId="49BD82D6">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胃幽门螺杆菌感染</w:t>
      </w:r>
      <w:r>
        <w:rPr>
          <w:rFonts w:hint="eastAsia" w:ascii="Times New Roman" w:hAnsi="Times New Roman" w:cs="Times New Roman"/>
          <w:sz w:val="24"/>
          <w:szCs w:val="24"/>
          <w:lang w:val="en-US" w:eastAsia="zh-CN"/>
        </w:rPr>
        <w:t>：</w:t>
      </w:r>
      <w:r>
        <w:rPr>
          <w:rFonts w:hint="default" w:ascii="Times New Roman" w:hAnsi="Times New Roman" w:eastAsia="宋体" w:cs="Times New Roman"/>
          <w:sz w:val="24"/>
          <w:szCs w:val="24"/>
          <w:lang w:val="en-US" w:eastAsia="zh-CN"/>
        </w:rPr>
        <w:t>年门诊量约 500人次</w:t>
      </w:r>
      <w:r>
        <w:rPr>
          <w:rFonts w:hint="eastAsia" w:ascii="Times New Roman" w:hAnsi="Times New Roman" w:cs="Times New Roman"/>
          <w:sz w:val="24"/>
          <w:szCs w:val="24"/>
          <w:lang w:val="en-US" w:eastAsia="zh-CN"/>
        </w:rPr>
        <w:t>。</w:t>
      </w:r>
    </w:p>
    <w:p w14:paraId="1DC74D24">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left"/>
        <w:textAlignment w:val="auto"/>
        <w:rPr>
          <w:rFonts w:hint="default" w:ascii="Times New Roman" w:hAnsi="Times New Roman" w:cs="Times New Roman" w:eastAsiaTheme="minorEastAsia"/>
          <w:b w:val="0"/>
          <w:bCs w:val="0"/>
          <w:sz w:val="24"/>
          <w:szCs w:val="24"/>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p>
    <w:p w14:paraId="0E2B9A88">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center"/>
        <w:textAlignment w:val="auto"/>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3014345" cy="2195830"/>
            <wp:effectExtent l="0" t="0" r="8255" b="1270"/>
            <wp:docPr id="1026" name="图片 1"/>
            <wp:cNvGraphicFramePr/>
            <a:graphic xmlns:a="http://schemas.openxmlformats.org/drawingml/2006/main">
              <a:graphicData uri="http://schemas.openxmlformats.org/drawingml/2006/picture">
                <pic:pic xmlns:pic="http://schemas.openxmlformats.org/drawingml/2006/picture">
                  <pic:nvPicPr>
                    <pic:cNvPr id="1026" name="图片 1"/>
                    <pic:cNvPicPr/>
                  </pic:nvPicPr>
                  <pic:blipFill>
                    <a:blip r:embed="rId4" cstate="print"/>
                    <a:srcRect/>
                    <a:stretch>
                      <a:fillRect/>
                    </a:stretch>
                  </pic:blipFill>
                  <pic:spPr>
                    <a:xfrm>
                      <a:off x="0" y="0"/>
                      <a:ext cx="3014345" cy="2195830"/>
                    </a:xfrm>
                    <a:prstGeom prst="rect">
                      <a:avLst/>
                    </a:prstGeom>
                    <a:ln>
                      <a:noFill/>
                    </a:ln>
                  </pic:spPr>
                </pic:pic>
              </a:graphicData>
            </a:graphic>
          </wp:inline>
        </w:drawing>
      </w:r>
    </w:p>
    <w:p w14:paraId="2165E09C">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center"/>
        <w:textAlignment w:val="auto"/>
        <w:rPr>
          <w:rFonts w:hint="default" w:ascii="Times New Roman" w:hAnsi="Times New Roman" w:eastAsia="宋体" w:cs="Times New Roman"/>
          <w:b w:val="0"/>
          <w:bCs/>
        </w:rPr>
      </w:pPr>
      <w:r>
        <w:rPr>
          <w:rStyle w:val="8"/>
          <w:rFonts w:hint="default" w:ascii="Times New Roman" w:hAnsi="Times New Roman" w:eastAsia="宋体" w:cs="Times New Roman"/>
          <w:b w:val="0"/>
          <w:bCs/>
          <w:sz w:val="24"/>
          <w:szCs w:val="24"/>
        </w:rPr>
        <w:t>姓名：</w:t>
      </w:r>
      <w:r>
        <w:rPr>
          <w:rStyle w:val="8"/>
          <w:rFonts w:hint="default" w:ascii="Times New Roman" w:hAnsi="Times New Roman" w:eastAsia="宋体" w:cs="Times New Roman"/>
          <w:b w:val="0"/>
          <w:bCs/>
          <w:sz w:val="24"/>
          <w:szCs w:val="24"/>
          <w:lang w:val="en-US" w:eastAsia="zh-CN"/>
        </w:rPr>
        <w:t>陈平湖</w:t>
      </w:r>
      <w:r>
        <w:rPr>
          <w:rStyle w:val="8"/>
          <w:rFonts w:hint="eastAsia" w:ascii="Times New Roman" w:hAnsi="Times New Roman" w:eastAsia="宋体" w:cs="Times New Roman"/>
          <w:b w:val="0"/>
          <w:bCs/>
          <w:sz w:val="24"/>
          <w:szCs w:val="24"/>
          <w:lang w:val="en-US" w:eastAsia="zh-CN"/>
        </w:rPr>
        <w:t xml:space="preserve">   </w:t>
      </w:r>
      <w:r>
        <w:rPr>
          <w:rStyle w:val="8"/>
          <w:rFonts w:hint="default" w:ascii="Times New Roman" w:hAnsi="Times New Roman" w:eastAsia="宋体" w:cs="Times New Roman"/>
          <w:b w:val="0"/>
          <w:bCs/>
          <w:sz w:val="24"/>
          <w:szCs w:val="24"/>
        </w:rPr>
        <w:t>职务：科室主任</w:t>
      </w:r>
      <w:r>
        <w:rPr>
          <w:rStyle w:val="8"/>
          <w:rFonts w:hint="eastAsia" w:ascii="Times New Roman" w:hAnsi="Times New Roman" w:eastAsia="宋体" w:cs="Times New Roman"/>
          <w:b w:val="0"/>
          <w:bCs/>
          <w:sz w:val="24"/>
          <w:szCs w:val="24"/>
          <w:lang w:val="en-US" w:eastAsia="zh-CN"/>
        </w:rPr>
        <w:t xml:space="preserve">   </w:t>
      </w:r>
      <w:r>
        <w:rPr>
          <w:rStyle w:val="8"/>
          <w:rFonts w:hint="default" w:ascii="Times New Roman" w:hAnsi="Times New Roman" w:eastAsia="宋体" w:cs="Times New Roman"/>
          <w:b w:val="0"/>
          <w:bCs/>
          <w:sz w:val="24"/>
          <w:szCs w:val="24"/>
        </w:rPr>
        <w:t>职称：主任医师</w:t>
      </w:r>
    </w:p>
    <w:p w14:paraId="6B81EC2D">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联系电话（座机或手机）：0759-3157219  邮箱：13560535533@139.com</w:t>
      </w:r>
    </w:p>
    <w:p w14:paraId="2E737AE6">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sz w:val="24"/>
          <w:szCs w:val="24"/>
          <w:lang w:val="en-US" w:eastAsia="zh-CN"/>
        </w:rPr>
        <w:t>个人简介：消化专业</w:t>
      </w:r>
      <w:r>
        <w:rPr>
          <w:rFonts w:hint="default" w:ascii="Times New Roman" w:hAnsi="Times New Roman" w:eastAsia="宋体" w:cs="Times New Roman"/>
          <w:b w:val="0"/>
          <w:bCs w:val="0"/>
          <w:sz w:val="24"/>
          <w:szCs w:val="24"/>
          <w:lang w:val="en-US" w:eastAsia="zh-CN"/>
        </w:rPr>
        <w:t>负责人陈平湖 消化内科主任、学科带头人，教授、主任医师。1991年7月毕业于广东医学院，分配到湛江中心人民医院消化内科工作至今；1991年7月至1996年12月任内科医师；1997年1月2002年12月，任消化内科主治医师；2002年12月至今，任消化内科副主任医师。其中，1997年7月至1998年6月在中山医科大学第一临床医院消化内科进修学习（一年制）；1999年7月参加上海第二医科大学上海市消化疾病研究所主办第11届全国消化系统疾病的进展学习班（1个月）；2001年9月至2003年7月攻读广西医科大学消化专业在职研究生。2003年4月至2006年3月任消化内科副主任，负责全面工作,2008年11月任消化内科主任医师，2006年4月至2021年9月任消化内科主任，2021年10月至今任湛江中心人民医院消化内科主任、大内科副主任。兼任中国老年医学学会消化分会委员、中华消化心身联盟广东省委员会常务理事、广东省医师协会消化内镜学医师分会副主任委员、广东省医学会消化内镜分会常委、广东省中西医结合学会脾胃消化病专业委员会常委、广东省医学会消化病学分会副主任委员、湛江市医学会理事、湛江市医学会消化内科分会主任委员、湛江市医学会消化内镜学分会副主任委员、湛江市医学会医疗事故技术鉴定专家库成员，2018年度湛江好医生，2019年至2023年度岭南名医。</w:t>
      </w:r>
    </w:p>
    <w:p w14:paraId="3F016F08">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b w:val="0"/>
          <w:bCs w:val="0"/>
          <w:sz w:val="24"/>
          <w:szCs w:val="24"/>
        </w:rPr>
        <w:t>主要研究方向（意向承接试验专业方向或病种）：</w:t>
      </w:r>
      <w:r>
        <w:rPr>
          <w:rFonts w:hint="default" w:ascii="Times New Roman" w:hAnsi="Times New Roman" w:eastAsia="宋体" w:cs="Times New Roman"/>
          <w:b w:val="0"/>
          <w:bCs w:val="0"/>
          <w:sz w:val="24"/>
          <w:szCs w:val="24"/>
          <w:lang w:val="en-US" w:eastAsia="zh-CN"/>
        </w:rPr>
        <w:t>消化道出血</w:t>
      </w:r>
      <w:r>
        <w:rPr>
          <w:rFonts w:hint="eastAsia" w:ascii="Times New Roman" w:hAnsi="Times New Roman" w:eastAsia="宋体" w:cs="Times New Roman"/>
          <w:b w:val="0"/>
          <w:bCs w:val="0"/>
          <w:sz w:val="24"/>
          <w:szCs w:val="24"/>
          <w:lang w:val="en-US" w:eastAsia="zh-CN"/>
        </w:rPr>
        <w:t>\</w:t>
      </w:r>
      <w:r>
        <w:rPr>
          <w:rFonts w:hint="default" w:ascii="Times New Roman" w:hAnsi="Times New Roman" w:eastAsia="宋体" w:cs="Times New Roman"/>
          <w:b w:val="0"/>
          <w:bCs w:val="0"/>
          <w:sz w:val="24"/>
          <w:szCs w:val="24"/>
          <w:lang w:val="en-US" w:eastAsia="zh-CN"/>
        </w:rPr>
        <w:t>炎症性肠病</w:t>
      </w:r>
      <w:r>
        <w:rPr>
          <w:rFonts w:hint="eastAsia" w:ascii="Times New Roman" w:hAnsi="Times New Roman" w:eastAsia="宋体" w:cs="Times New Roman"/>
          <w:b w:val="0"/>
          <w:bCs w:val="0"/>
          <w:sz w:val="24"/>
          <w:szCs w:val="24"/>
          <w:lang w:val="en-US" w:eastAsia="zh-CN"/>
        </w:rPr>
        <w:t>。</w:t>
      </w:r>
    </w:p>
    <w:p w14:paraId="33C24C21">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rPr>
      </w:pPr>
      <w:r>
        <w:rPr>
          <w:rFonts w:hint="default" w:ascii="Times New Roman" w:hAnsi="Times New Roman" w:eastAsia="宋体" w:cs="Times New Roman"/>
          <w:sz w:val="24"/>
          <w:szCs w:val="24"/>
          <w:lang w:val="en-US" w:eastAsia="zh-CN"/>
        </w:rPr>
        <w:t>【参与研究】</w:t>
      </w:r>
    </w:p>
    <w:tbl>
      <w:tblPr>
        <w:tblStyle w:val="5"/>
        <w:tblW w:w="8551"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54"/>
        <w:gridCol w:w="6135"/>
        <w:gridCol w:w="1462"/>
      </w:tblGrid>
      <w:tr w14:paraId="31C6B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954"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7CEF20AC">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No.</w:t>
            </w:r>
          </w:p>
        </w:tc>
        <w:tc>
          <w:tcPr>
            <w:tcW w:w="613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43BBA72">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项目名称</w:t>
            </w:r>
          </w:p>
        </w:tc>
        <w:tc>
          <w:tcPr>
            <w:tcW w:w="1462"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D27121A">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eastAsia"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lang w:val="en-US" w:eastAsia="zh-CN"/>
              </w:rPr>
              <w:t>备注</w:t>
            </w:r>
          </w:p>
        </w:tc>
      </w:tr>
      <w:tr w14:paraId="75580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0" w:hRule="atLeast"/>
          <w:tblCellSpacing w:w="0" w:type="dxa"/>
          <w:jc w:val="center"/>
        </w:trPr>
        <w:tc>
          <w:tcPr>
            <w:tcW w:w="954"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B4EDE5D">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w:t>
            </w:r>
          </w:p>
        </w:tc>
        <w:tc>
          <w:tcPr>
            <w:tcW w:w="6135" w:type="dxa"/>
            <w:tcBorders>
              <w:top w:val="nil"/>
              <w:left w:val="nil"/>
              <w:bottom w:val="single" w:color="auto" w:sz="6" w:space="0"/>
              <w:right w:val="single" w:color="auto" w:sz="6" w:space="0"/>
            </w:tcBorders>
            <w:shd w:val="clear" w:color="auto" w:fill="auto"/>
            <w:tcMar>
              <w:left w:w="105" w:type="dxa"/>
              <w:right w:w="105" w:type="dxa"/>
            </w:tcMar>
            <w:vAlign w:val="center"/>
          </w:tcPr>
          <w:p w14:paraId="3A42117E">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以安慰剂为对照，评价东方胃药胶囊治疗功能性消化不良疗效的多中心、随机、双盲临床试验</w:t>
            </w:r>
          </w:p>
        </w:tc>
        <w:tc>
          <w:tcPr>
            <w:tcW w:w="1462" w:type="dxa"/>
            <w:tcBorders>
              <w:top w:val="nil"/>
              <w:left w:val="nil"/>
              <w:bottom w:val="single" w:color="auto" w:sz="6" w:space="0"/>
              <w:right w:val="single" w:color="auto" w:sz="6" w:space="0"/>
            </w:tcBorders>
            <w:shd w:val="clear" w:color="auto" w:fill="auto"/>
            <w:tcMar>
              <w:left w:w="105" w:type="dxa"/>
              <w:right w:w="105" w:type="dxa"/>
            </w:tcMar>
            <w:vAlign w:val="center"/>
          </w:tcPr>
          <w:p w14:paraId="467BF59E">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rPr>
            </w:pPr>
            <w:r>
              <w:rPr>
                <w:rFonts w:hint="default" w:ascii="Times New Roman" w:hAnsi="Times New Roman" w:cs="Times New Roman" w:eastAsiaTheme="minorEastAsia"/>
                <w:b w:val="0"/>
                <w:bCs w:val="0"/>
                <w:sz w:val="24"/>
                <w:szCs w:val="24"/>
                <w:lang w:val="en-US" w:eastAsia="zh-CN"/>
              </w:rPr>
              <w:t>入组：</w:t>
            </w:r>
            <w:r>
              <w:rPr>
                <w:rFonts w:hint="eastAsia" w:ascii="Times New Roman" w:hAnsi="Times New Roman" w:cs="Times New Roman"/>
                <w:b w:val="0"/>
                <w:bCs w:val="0"/>
                <w:sz w:val="24"/>
                <w:szCs w:val="24"/>
                <w:lang w:val="en-US" w:eastAsia="zh-CN"/>
              </w:rPr>
              <w:t>6</w:t>
            </w:r>
            <w:r>
              <w:rPr>
                <w:rFonts w:hint="default" w:ascii="Times New Roman" w:hAnsi="Times New Roman" w:cs="Times New Roman" w:eastAsiaTheme="minorEastAsia"/>
                <w:b w:val="0"/>
                <w:bCs w:val="0"/>
                <w:sz w:val="24"/>
                <w:szCs w:val="24"/>
                <w:lang w:val="en-US" w:eastAsia="zh-CN"/>
              </w:rPr>
              <w:t>例</w:t>
            </w:r>
          </w:p>
        </w:tc>
      </w:tr>
      <w:tr w14:paraId="46A5A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954"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93A3113">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2</w:t>
            </w:r>
          </w:p>
        </w:tc>
        <w:tc>
          <w:tcPr>
            <w:tcW w:w="6135" w:type="dxa"/>
            <w:tcBorders>
              <w:top w:val="nil"/>
              <w:left w:val="nil"/>
              <w:bottom w:val="single" w:color="auto" w:sz="6" w:space="0"/>
              <w:right w:val="single" w:color="auto" w:sz="6" w:space="0"/>
            </w:tcBorders>
            <w:shd w:val="clear" w:color="auto" w:fill="auto"/>
            <w:tcMar>
              <w:left w:w="105" w:type="dxa"/>
              <w:right w:w="105" w:type="dxa"/>
            </w:tcMar>
            <w:vAlign w:val="center"/>
          </w:tcPr>
          <w:p w14:paraId="172A874F">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以注射用艾司奥美拉唑钠为阳性对照药评价注射用艾普拉唑钠预防内镜止血治疗成功患者再次出血的疗效和安全性的临床研究临床试验方案</w:t>
            </w:r>
          </w:p>
        </w:tc>
        <w:tc>
          <w:tcPr>
            <w:tcW w:w="1462" w:type="dxa"/>
            <w:tcBorders>
              <w:top w:val="nil"/>
              <w:left w:val="nil"/>
              <w:bottom w:val="single" w:color="auto" w:sz="6" w:space="0"/>
              <w:right w:val="single" w:color="auto" w:sz="6" w:space="0"/>
            </w:tcBorders>
            <w:shd w:val="clear" w:color="auto" w:fill="auto"/>
            <w:tcMar>
              <w:left w:w="105" w:type="dxa"/>
              <w:right w:w="105" w:type="dxa"/>
            </w:tcMar>
            <w:vAlign w:val="center"/>
          </w:tcPr>
          <w:p w14:paraId="14630E38">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rPr>
            </w:pPr>
            <w:r>
              <w:rPr>
                <w:rFonts w:hint="eastAsia" w:ascii="Times New Roman" w:hAnsi="Times New Roman" w:cs="Times New Roman"/>
                <w:b w:val="0"/>
                <w:bCs w:val="0"/>
                <w:color w:val="000000"/>
                <w:sz w:val="24"/>
                <w:szCs w:val="24"/>
                <w:lang w:val="en-US" w:eastAsia="zh-CN"/>
              </w:rPr>
              <w:t>入组：13例</w:t>
            </w:r>
          </w:p>
        </w:tc>
      </w:tr>
      <w:tr w14:paraId="22EAB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0" w:hRule="atLeast"/>
          <w:tblCellSpacing w:w="0" w:type="dxa"/>
          <w:jc w:val="center"/>
        </w:trPr>
        <w:tc>
          <w:tcPr>
            <w:tcW w:w="954"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248908C">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3</w:t>
            </w:r>
          </w:p>
        </w:tc>
        <w:tc>
          <w:tcPr>
            <w:tcW w:w="6135" w:type="dxa"/>
            <w:tcBorders>
              <w:top w:val="nil"/>
              <w:left w:val="nil"/>
              <w:bottom w:val="single" w:color="auto" w:sz="6" w:space="0"/>
              <w:right w:val="single" w:color="auto" w:sz="6" w:space="0"/>
            </w:tcBorders>
            <w:shd w:val="clear" w:color="auto" w:fill="auto"/>
            <w:tcMar>
              <w:left w:w="105" w:type="dxa"/>
              <w:right w:w="105" w:type="dxa"/>
            </w:tcMar>
            <w:vAlign w:val="center"/>
          </w:tcPr>
          <w:p w14:paraId="6F8A0676">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注射用右兰索拉唑治疗消化性溃疡出血的随机、双盲、阳性药平行对照、多中心、Ⅲ期临床试验</w:t>
            </w:r>
          </w:p>
        </w:tc>
        <w:tc>
          <w:tcPr>
            <w:tcW w:w="1462" w:type="dxa"/>
            <w:tcBorders>
              <w:top w:val="nil"/>
              <w:left w:val="nil"/>
              <w:bottom w:val="single" w:color="auto" w:sz="6" w:space="0"/>
              <w:right w:val="single" w:color="auto" w:sz="6" w:space="0"/>
            </w:tcBorders>
            <w:shd w:val="clear" w:color="auto" w:fill="auto"/>
            <w:tcMar>
              <w:left w:w="105" w:type="dxa"/>
              <w:right w:w="105" w:type="dxa"/>
            </w:tcMar>
            <w:vAlign w:val="center"/>
          </w:tcPr>
          <w:p w14:paraId="5BA7BB76">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rPr>
            </w:pPr>
            <w:r>
              <w:rPr>
                <w:rFonts w:hint="eastAsia" w:ascii="Times New Roman" w:hAnsi="Times New Roman" w:cs="Times New Roman"/>
                <w:b w:val="0"/>
                <w:bCs w:val="0"/>
                <w:sz w:val="24"/>
                <w:szCs w:val="24"/>
                <w:lang w:val="en-US" w:eastAsia="zh-CN"/>
              </w:rPr>
              <w:t>入组：20例</w:t>
            </w:r>
          </w:p>
        </w:tc>
      </w:tr>
      <w:tr w14:paraId="40FED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954"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D5A863D">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4</w:t>
            </w:r>
          </w:p>
        </w:tc>
        <w:tc>
          <w:tcPr>
            <w:tcW w:w="6135" w:type="dxa"/>
            <w:tcBorders>
              <w:top w:val="nil"/>
              <w:left w:val="nil"/>
              <w:bottom w:val="single" w:color="auto" w:sz="6" w:space="0"/>
              <w:right w:val="single" w:color="auto" w:sz="6" w:space="0"/>
            </w:tcBorders>
            <w:shd w:val="clear" w:color="auto" w:fill="auto"/>
            <w:tcMar>
              <w:left w:w="105" w:type="dxa"/>
              <w:right w:w="105" w:type="dxa"/>
            </w:tcMar>
            <w:vAlign w:val="center"/>
          </w:tcPr>
          <w:p w14:paraId="1358902B">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多中心、随机、双盲、阳性药平行对照的Ⅲ期临床研究评价H009注射液用于急性胃和/或十二指肠溃疡引起的上消化道出血经内镜治疗后降低再出血风险的有效性和安全性</w:t>
            </w:r>
          </w:p>
        </w:tc>
        <w:tc>
          <w:tcPr>
            <w:tcW w:w="1462" w:type="dxa"/>
            <w:tcBorders>
              <w:top w:val="nil"/>
              <w:left w:val="nil"/>
              <w:bottom w:val="single" w:color="auto" w:sz="6" w:space="0"/>
              <w:right w:val="single" w:color="auto" w:sz="6" w:space="0"/>
            </w:tcBorders>
            <w:shd w:val="clear" w:color="auto" w:fill="auto"/>
            <w:tcMar>
              <w:left w:w="105" w:type="dxa"/>
              <w:right w:w="105" w:type="dxa"/>
            </w:tcMar>
            <w:vAlign w:val="center"/>
          </w:tcPr>
          <w:p w14:paraId="07EEAF27">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rPr>
            </w:pPr>
            <w:r>
              <w:rPr>
                <w:rFonts w:hint="eastAsia" w:ascii="Times New Roman" w:hAnsi="Times New Roman" w:cs="Times New Roman"/>
                <w:b w:val="0"/>
                <w:bCs w:val="0"/>
                <w:sz w:val="24"/>
                <w:szCs w:val="24"/>
                <w:lang w:val="en-US" w:eastAsia="zh-CN"/>
              </w:rPr>
              <w:t>入组：12例</w:t>
            </w:r>
          </w:p>
        </w:tc>
      </w:tr>
      <w:tr w14:paraId="3A753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blCellSpacing w:w="0" w:type="dxa"/>
          <w:jc w:val="center"/>
        </w:trPr>
        <w:tc>
          <w:tcPr>
            <w:tcW w:w="954"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43A3D16">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5</w:t>
            </w:r>
          </w:p>
        </w:tc>
        <w:tc>
          <w:tcPr>
            <w:tcW w:w="6135" w:type="dxa"/>
            <w:tcBorders>
              <w:top w:val="nil"/>
              <w:left w:val="nil"/>
              <w:bottom w:val="single" w:color="auto" w:sz="6" w:space="0"/>
              <w:right w:val="single" w:color="auto" w:sz="6" w:space="0"/>
            </w:tcBorders>
            <w:shd w:val="clear" w:color="auto" w:fill="auto"/>
            <w:tcMar>
              <w:left w:w="105" w:type="dxa"/>
              <w:right w:w="105" w:type="dxa"/>
            </w:tcMar>
            <w:vAlign w:val="center"/>
          </w:tcPr>
          <w:p w14:paraId="0B14D7F5">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评价HECB1502201注射液治疗消化性溃疡出血安全性和有效性的多中心、随机、双盲、阳性药物平行对照II/III期临床试验</w:t>
            </w:r>
          </w:p>
        </w:tc>
        <w:tc>
          <w:tcPr>
            <w:tcW w:w="1462" w:type="dxa"/>
            <w:tcBorders>
              <w:top w:val="nil"/>
              <w:left w:val="nil"/>
              <w:bottom w:val="single" w:color="auto" w:sz="6" w:space="0"/>
              <w:right w:val="single" w:color="auto" w:sz="6" w:space="0"/>
            </w:tcBorders>
            <w:shd w:val="clear" w:color="auto" w:fill="auto"/>
            <w:tcMar>
              <w:left w:w="105" w:type="dxa"/>
              <w:right w:w="105" w:type="dxa"/>
            </w:tcMar>
            <w:vAlign w:val="center"/>
          </w:tcPr>
          <w:p w14:paraId="3CC92045">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p>
        </w:tc>
      </w:tr>
      <w:tr w14:paraId="2CB8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9" w:hRule="atLeast"/>
          <w:tblCellSpacing w:w="0" w:type="dxa"/>
          <w:jc w:val="center"/>
        </w:trPr>
        <w:tc>
          <w:tcPr>
            <w:tcW w:w="954"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9B65A45">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6</w:t>
            </w:r>
          </w:p>
        </w:tc>
        <w:tc>
          <w:tcPr>
            <w:tcW w:w="6135" w:type="dxa"/>
            <w:tcBorders>
              <w:top w:val="nil"/>
              <w:left w:val="nil"/>
              <w:bottom w:val="single" w:color="auto" w:sz="6" w:space="0"/>
              <w:right w:val="single" w:color="auto" w:sz="6" w:space="0"/>
            </w:tcBorders>
            <w:shd w:val="clear" w:color="auto" w:fill="auto"/>
            <w:tcMar>
              <w:left w:w="105" w:type="dxa"/>
              <w:right w:w="105" w:type="dxa"/>
            </w:tcMar>
            <w:vAlign w:val="center"/>
          </w:tcPr>
          <w:p w14:paraId="43FFF74E">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评价HW-N2001注射液治疗消化性溃疡出血的有效性和安全性的随机、双盲、 阳性药平行对照、多中心Ⅱ期临床研究</w:t>
            </w:r>
          </w:p>
        </w:tc>
        <w:tc>
          <w:tcPr>
            <w:tcW w:w="1462" w:type="dxa"/>
            <w:tcBorders>
              <w:top w:val="nil"/>
              <w:left w:val="nil"/>
              <w:bottom w:val="single" w:color="auto" w:sz="6" w:space="0"/>
              <w:right w:val="single" w:color="auto" w:sz="6" w:space="0"/>
            </w:tcBorders>
            <w:shd w:val="clear" w:color="auto" w:fill="auto"/>
            <w:tcMar>
              <w:left w:w="105" w:type="dxa"/>
              <w:right w:w="105" w:type="dxa"/>
            </w:tcMar>
            <w:vAlign w:val="center"/>
          </w:tcPr>
          <w:p w14:paraId="3E8A3811">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p>
        </w:tc>
      </w:tr>
      <w:tr w14:paraId="254C3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5" w:hRule="atLeast"/>
          <w:tblCellSpacing w:w="0" w:type="dxa"/>
          <w:jc w:val="center"/>
        </w:trPr>
        <w:tc>
          <w:tcPr>
            <w:tcW w:w="954"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775C6CE">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7</w:t>
            </w:r>
          </w:p>
        </w:tc>
        <w:tc>
          <w:tcPr>
            <w:tcW w:w="6135" w:type="dxa"/>
            <w:tcBorders>
              <w:top w:val="nil"/>
              <w:left w:val="nil"/>
              <w:bottom w:val="single" w:color="auto" w:sz="6" w:space="0"/>
              <w:right w:val="single" w:color="auto" w:sz="6" w:space="0"/>
            </w:tcBorders>
            <w:shd w:val="clear" w:color="auto" w:fill="auto"/>
            <w:tcMar>
              <w:left w:w="105" w:type="dxa"/>
              <w:right w:w="105" w:type="dxa"/>
            </w:tcMar>
            <w:vAlign w:val="center"/>
          </w:tcPr>
          <w:p w14:paraId="2B07E877">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JP-1366 片与耐信®在反流性食管炎受试者中的多中心、随机、双盲双模拟、阳性平行对照的 III 期临床研究</w:t>
            </w:r>
          </w:p>
        </w:tc>
        <w:tc>
          <w:tcPr>
            <w:tcW w:w="1462" w:type="dxa"/>
            <w:tcBorders>
              <w:top w:val="nil"/>
              <w:left w:val="nil"/>
              <w:bottom w:val="single" w:color="auto" w:sz="6" w:space="0"/>
              <w:right w:val="single" w:color="auto" w:sz="6" w:space="0"/>
            </w:tcBorders>
            <w:shd w:val="clear" w:color="auto" w:fill="auto"/>
            <w:tcMar>
              <w:left w:w="105" w:type="dxa"/>
              <w:right w:w="105" w:type="dxa"/>
            </w:tcMar>
            <w:vAlign w:val="center"/>
          </w:tcPr>
          <w:p w14:paraId="2A8FF619">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r w14:paraId="3B15B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954" w:type="dxa"/>
            <w:tcBorders>
              <w:top w:val="nil"/>
              <w:left w:val="single" w:color="auto" w:sz="6" w:space="0"/>
              <w:bottom w:val="single" w:color="auto" w:sz="4" w:space="0"/>
              <w:right w:val="single" w:color="auto" w:sz="6" w:space="0"/>
            </w:tcBorders>
            <w:shd w:val="clear" w:color="auto" w:fill="auto"/>
            <w:noWrap/>
            <w:tcMar>
              <w:left w:w="105" w:type="dxa"/>
              <w:right w:w="105" w:type="dxa"/>
            </w:tcMar>
            <w:vAlign w:val="center"/>
          </w:tcPr>
          <w:p w14:paraId="555510BF">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8</w:t>
            </w:r>
          </w:p>
        </w:tc>
        <w:tc>
          <w:tcPr>
            <w:tcW w:w="6135" w:type="dxa"/>
            <w:tcBorders>
              <w:top w:val="nil"/>
              <w:left w:val="nil"/>
              <w:bottom w:val="single" w:color="auto" w:sz="4" w:space="0"/>
              <w:right w:val="single" w:color="auto" w:sz="6" w:space="0"/>
            </w:tcBorders>
            <w:shd w:val="clear" w:color="auto" w:fill="auto"/>
            <w:tcMar>
              <w:left w:w="105" w:type="dxa"/>
              <w:right w:w="105" w:type="dxa"/>
            </w:tcMar>
            <w:vAlign w:val="center"/>
          </w:tcPr>
          <w:p w14:paraId="4DBAC207">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多中心、随机、双盲、阳性药平行对照的ll/III期临床研究评价H008 注射液用于消化性溃疡引起的上消化道出血经内镜治疗后降低再出血风险的有效性和安全性</w:t>
            </w:r>
          </w:p>
        </w:tc>
        <w:tc>
          <w:tcPr>
            <w:tcW w:w="1462" w:type="dxa"/>
            <w:tcBorders>
              <w:top w:val="nil"/>
              <w:left w:val="nil"/>
              <w:bottom w:val="single" w:color="auto" w:sz="4" w:space="0"/>
              <w:right w:val="single" w:color="auto" w:sz="6" w:space="0"/>
            </w:tcBorders>
            <w:shd w:val="clear" w:color="auto" w:fill="auto"/>
            <w:tcMar>
              <w:left w:w="105" w:type="dxa"/>
              <w:right w:w="105" w:type="dxa"/>
            </w:tcMar>
            <w:vAlign w:val="center"/>
          </w:tcPr>
          <w:p w14:paraId="4D13D678">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r w14:paraId="5571B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2" w:hRule="atLeast"/>
          <w:tblCellSpacing w:w="0" w:type="dxa"/>
          <w:jc w:val="center"/>
        </w:trPr>
        <w:tc>
          <w:tcPr>
            <w:tcW w:w="954" w:type="dxa"/>
            <w:tcBorders>
              <w:top w:val="single" w:color="auto" w:sz="4" w:space="0"/>
              <w:left w:val="single" w:color="auto" w:sz="6" w:space="0"/>
              <w:bottom w:val="single" w:color="auto" w:sz="4" w:space="0"/>
              <w:right w:val="single" w:color="auto" w:sz="6" w:space="0"/>
            </w:tcBorders>
            <w:shd w:val="clear" w:color="auto" w:fill="auto"/>
            <w:noWrap/>
            <w:tcMar>
              <w:left w:w="105" w:type="dxa"/>
              <w:right w:w="105" w:type="dxa"/>
            </w:tcMar>
            <w:vAlign w:val="center"/>
          </w:tcPr>
          <w:p w14:paraId="258131F5">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lang w:val="en-US" w:eastAsia="zh-CN"/>
              </w:rPr>
            </w:pPr>
            <w:r>
              <w:rPr>
                <w:rFonts w:hint="default" w:ascii="Times New Roman" w:hAnsi="Times New Roman" w:eastAsia="宋体" w:cs="Times New Roman"/>
                <w:color w:val="000000"/>
                <w:sz w:val="24"/>
                <w:szCs w:val="24"/>
                <w:lang w:val="en-US" w:eastAsia="zh-CN"/>
              </w:rPr>
              <w:t>9</w:t>
            </w:r>
          </w:p>
        </w:tc>
        <w:tc>
          <w:tcPr>
            <w:tcW w:w="6135" w:type="dxa"/>
            <w:tcBorders>
              <w:top w:val="single" w:color="auto" w:sz="4" w:space="0"/>
              <w:left w:val="nil"/>
              <w:bottom w:val="single" w:color="auto" w:sz="4" w:space="0"/>
              <w:right w:val="single" w:color="auto" w:sz="6" w:space="0"/>
            </w:tcBorders>
            <w:shd w:val="clear" w:color="auto" w:fill="auto"/>
            <w:tcMar>
              <w:left w:w="105" w:type="dxa"/>
              <w:right w:w="105" w:type="dxa"/>
            </w:tcMar>
            <w:vAlign w:val="center"/>
          </w:tcPr>
          <w:p w14:paraId="2E6F32AB">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注射用右旋兰索拉唑治疗胃和/或十二指肠溃疡引起的上消化道出血的有效性和安全性的随机、双盲、阳性药物平行对照、多中心III期临床试验</w:t>
            </w:r>
          </w:p>
        </w:tc>
        <w:tc>
          <w:tcPr>
            <w:tcW w:w="1462" w:type="dxa"/>
            <w:tcBorders>
              <w:top w:val="single" w:color="auto" w:sz="4" w:space="0"/>
              <w:left w:val="nil"/>
              <w:bottom w:val="single" w:color="auto" w:sz="4" w:space="0"/>
              <w:right w:val="single" w:color="auto" w:sz="6" w:space="0"/>
            </w:tcBorders>
            <w:shd w:val="clear" w:color="auto" w:fill="auto"/>
            <w:tcMar>
              <w:left w:w="105" w:type="dxa"/>
              <w:right w:w="105" w:type="dxa"/>
            </w:tcMar>
            <w:vAlign w:val="center"/>
          </w:tcPr>
          <w:p w14:paraId="41228767">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color w:val="000000"/>
                <w:sz w:val="24"/>
                <w:szCs w:val="24"/>
              </w:rPr>
            </w:pPr>
          </w:p>
        </w:tc>
      </w:tr>
    </w:tbl>
    <w:p w14:paraId="2C453FFD">
      <w:pPr>
        <w:pStyle w:val="4"/>
        <w:keepNext w:val="0"/>
        <w:keepLines w:val="0"/>
        <w:widowControl/>
        <w:suppressLineNumbers w:val="0"/>
        <w:jc w:val="center"/>
        <w:rPr>
          <w:rStyle w:val="8"/>
          <w:rFonts w:hint="default" w:ascii="Times New Roman" w:hAnsi="Times New Roman" w:eastAsia="宋体" w:cs="Times New Roman"/>
          <w:sz w:val="24"/>
          <w:szCs w:val="24"/>
          <w:lang w:eastAsia="zh-CN"/>
        </w:rPr>
      </w:pPr>
      <w:r>
        <w:rPr>
          <w:rStyle w:val="8"/>
          <w:rFonts w:hint="default" w:ascii="Times New Roman" w:hAnsi="Times New Roman" w:eastAsia="宋体" w:cs="Times New Roman"/>
          <w:sz w:val="24"/>
          <w:szCs w:val="24"/>
          <w:lang w:eastAsia="zh-CN"/>
        </w:rPr>
        <w:drawing>
          <wp:anchor distT="0" distB="0" distL="114300" distR="114300" simplePos="0" relativeHeight="251659264" behindDoc="0" locked="0" layoutInCell="1" allowOverlap="1">
            <wp:simplePos x="0" y="0"/>
            <wp:positionH relativeFrom="column">
              <wp:posOffset>1139190</wp:posOffset>
            </wp:positionH>
            <wp:positionV relativeFrom="paragraph">
              <wp:posOffset>439420</wp:posOffset>
            </wp:positionV>
            <wp:extent cx="2626360" cy="2350135"/>
            <wp:effectExtent l="0" t="0" r="2540" b="12065"/>
            <wp:wrapNone/>
            <wp:docPr id="1" name="图片 1" descr="1f33d5ff0ad242bc002e9d0da4c1d0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f33d5ff0ad242bc002e9d0da4c1d0f4"/>
                    <pic:cNvPicPr>
                      <a:picLocks noChangeAspect="1"/>
                    </pic:cNvPicPr>
                  </pic:nvPicPr>
                  <pic:blipFill>
                    <a:blip r:embed="rId5"/>
                    <a:stretch>
                      <a:fillRect/>
                    </a:stretch>
                  </pic:blipFill>
                  <pic:spPr>
                    <a:xfrm>
                      <a:off x="0" y="0"/>
                      <a:ext cx="2626360" cy="2350135"/>
                    </a:xfrm>
                    <a:prstGeom prst="rect">
                      <a:avLst/>
                    </a:prstGeom>
                  </pic:spPr>
                </pic:pic>
              </a:graphicData>
            </a:graphic>
          </wp:anchor>
        </w:drawing>
      </w:r>
    </w:p>
    <w:p w14:paraId="1188D8C6">
      <w:pPr>
        <w:pStyle w:val="4"/>
        <w:keepNext w:val="0"/>
        <w:keepLines w:val="0"/>
        <w:widowControl/>
        <w:suppressLineNumbers w:val="0"/>
        <w:jc w:val="center"/>
        <w:rPr>
          <w:rStyle w:val="8"/>
          <w:rFonts w:hint="default" w:ascii="Times New Roman" w:hAnsi="Times New Roman" w:eastAsia="宋体" w:cs="Times New Roman"/>
          <w:sz w:val="24"/>
          <w:szCs w:val="24"/>
          <w:lang w:eastAsia="zh-CN"/>
        </w:rPr>
      </w:pPr>
    </w:p>
    <w:p w14:paraId="7BD38211">
      <w:pPr>
        <w:pStyle w:val="4"/>
        <w:keepNext w:val="0"/>
        <w:keepLines w:val="0"/>
        <w:widowControl/>
        <w:suppressLineNumbers w:val="0"/>
        <w:jc w:val="center"/>
        <w:rPr>
          <w:rStyle w:val="8"/>
          <w:rFonts w:hint="default" w:ascii="Times New Roman" w:hAnsi="Times New Roman" w:eastAsia="宋体" w:cs="Times New Roman"/>
          <w:sz w:val="24"/>
          <w:szCs w:val="24"/>
        </w:rPr>
      </w:pPr>
    </w:p>
    <w:p w14:paraId="7404EAB1">
      <w:pPr>
        <w:pStyle w:val="4"/>
        <w:keepNext w:val="0"/>
        <w:keepLines w:val="0"/>
        <w:widowControl/>
        <w:suppressLineNumbers w:val="0"/>
        <w:jc w:val="center"/>
        <w:rPr>
          <w:rStyle w:val="8"/>
          <w:rFonts w:hint="default" w:ascii="Times New Roman" w:hAnsi="Times New Roman" w:eastAsia="宋体" w:cs="Times New Roman"/>
          <w:sz w:val="24"/>
          <w:szCs w:val="24"/>
        </w:rPr>
      </w:pPr>
    </w:p>
    <w:p w14:paraId="2BE55E1B">
      <w:pPr>
        <w:pStyle w:val="4"/>
        <w:keepNext w:val="0"/>
        <w:keepLines w:val="0"/>
        <w:widowControl/>
        <w:suppressLineNumbers w:val="0"/>
        <w:jc w:val="center"/>
        <w:rPr>
          <w:rStyle w:val="8"/>
          <w:rFonts w:hint="default" w:ascii="Times New Roman" w:hAnsi="Times New Roman" w:eastAsia="宋体" w:cs="Times New Roman"/>
          <w:sz w:val="24"/>
          <w:szCs w:val="24"/>
        </w:rPr>
      </w:pPr>
    </w:p>
    <w:p w14:paraId="403B5D8B">
      <w:pPr>
        <w:pStyle w:val="4"/>
        <w:keepNext w:val="0"/>
        <w:keepLines w:val="0"/>
        <w:widowControl/>
        <w:suppressLineNumbers w:val="0"/>
        <w:jc w:val="center"/>
        <w:rPr>
          <w:rStyle w:val="8"/>
          <w:rFonts w:hint="default" w:ascii="Times New Roman" w:hAnsi="Times New Roman" w:eastAsia="宋体" w:cs="Times New Roman"/>
          <w:sz w:val="24"/>
          <w:szCs w:val="24"/>
        </w:rPr>
      </w:pPr>
    </w:p>
    <w:p w14:paraId="398568A0">
      <w:pPr>
        <w:pStyle w:val="4"/>
        <w:keepNext w:val="0"/>
        <w:keepLines w:val="0"/>
        <w:widowControl/>
        <w:suppressLineNumbers w:val="0"/>
        <w:jc w:val="both"/>
        <w:rPr>
          <w:rStyle w:val="8"/>
          <w:rFonts w:hint="default" w:ascii="Times New Roman" w:hAnsi="Times New Roman" w:eastAsia="宋体" w:cs="Times New Roman"/>
          <w:sz w:val="24"/>
          <w:szCs w:val="24"/>
        </w:rPr>
      </w:pPr>
    </w:p>
    <w:p w14:paraId="35968895">
      <w:pPr>
        <w:pStyle w:val="4"/>
        <w:keepNext w:val="0"/>
        <w:keepLines w:val="0"/>
        <w:widowControl/>
        <w:suppressLineNumbers w:val="0"/>
        <w:jc w:val="both"/>
        <w:rPr>
          <w:rStyle w:val="8"/>
          <w:rFonts w:hint="default" w:ascii="Times New Roman" w:hAnsi="Times New Roman" w:eastAsia="宋体" w:cs="Times New Roman"/>
          <w:sz w:val="24"/>
          <w:szCs w:val="24"/>
        </w:rPr>
      </w:pPr>
    </w:p>
    <w:p w14:paraId="4974F403">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Times New Roman" w:hAnsi="Times New Roman" w:eastAsia="宋体" w:cs="Times New Roman"/>
          <w:b w:val="0"/>
          <w:bCs/>
        </w:rPr>
      </w:pPr>
      <w:r>
        <w:rPr>
          <w:rStyle w:val="8"/>
          <w:rFonts w:hint="default" w:ascii="Times New Roman" w:hAnsi="Times New Roman" w:eastAsia="宋体" w:cs="Times New Roman"/>
          <w:b w:val="0"/>
          <w:bCs/>
          <w:sz w:val="24"/>
          <w:szCs w:val="24"/>
        </w:rPr>
        <w:t xml:space="preserve">姓名： </w:t>
      </w:r>
      <w:r>
        <w:rPr>
          <w:rStyle w:val="8"/>
          <w:rFonts w:hint="default" w:ascii="Times New Roman" w:hAnsi="Times New Roman" w:eastAsia="宋体" w:cs="Times New Roman"/>
          <w:b w:val="0"/>
          <w:bCs/>
          <w:sz w:val="24"/>
          <w:szCs w:val="24"/>
          <w:lang w:val="en-US" w:eastAsia="zh-CN"/>
        </w:rPr>
        <w:t>杨丽清</w:t>
      </w:r>
      <w:r>
        <w:rPr>
          <w:rStyle w:val="8"/>
          <w:rFonts w:hint="eastAsia" w:ascii="Times New Roman" w:hAnsi="Times New Roman" w:eastAsia="宋体" w:cs="Times New Roman"/>
          <w:b w:val="0"/>
          <w:bCs/>
          <w:sz w:val="24"/>
          <w:szCs w:val="24"/>
          <w:lang w:val="en-US" w:eastAsia="zh-CN"/>
        </w:rPr>
        <w:t xml:space="preserve">   </w:t>
      </w:r>
      <w:r>
        <w:rPr>
          <w:rStyle w:val="8"/>
          <w:rFonts w:hint="default" w:ascii="Times New Roman" w:hAnsi="Times New Roman" w:eastAsia="宋体" w:cs="Times New Roman"/>
          <w:b w:val="0"/>
          <w:bCs/>
          <w:sz w:val="24"/>
          <w:szCs w:val="24"/>
        </w:rPr>
        <w:t xml:space="preserve">职称： </w:t>
      </w:r>
      <w:r>
        <w:rPr>
          <w:rStyle w:val="8"/>
          <w:rFonts w:hint="default" w:ascii="Times New Roman" w:hAnsi="Times New Roman" w:eastAsia="宋体" w:cs="Times New Roman"/>
          <w:b w:val="0"/>
          <w:bCs/>
          <w:sz w:val="24"/>
          <w:szCs w:val="24"/>
          <w:lang w:eastAsia="zh-CN"/>
        </w:rPr>
        <w:t>副</w:t>
      </w:r>
      <w:r>
        <w:rPr>
          <w:rStyle w:val="8"/>
          <w:rFonts w:hint="default" w:ascii="Times New Roman" w:hAnsi="Times New Roman" w:eastAsia="宋体" w:cs="Times New Roman"/>
          <w:b w:val="0"/>
          <w:bCs/>
          <w:sz w:val="24"/>
          <w:szCs w:val="24"/>
        </w:rPr>
        <w:t>主任医师</w:t>
      </w:r>
    </w:p>
    <w:p w14:paraId="73D691FB">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联系电话（座机或手机）：0759-3157219  邮箱：604102717qq.com</w:t>
      </w:r>
    </w:p>
    <w:p w14:paraId="5DAD8A59">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个人简介：杨丽清，女，硕士研究生，湛江中心人民医院消化内科副主任医师。2020年1月-12月在中山大学附属第一医院消化内科、消化内镜中心进修学习一年。现兼任广东省医师协会IBD专业委员会第一届委员，广东省医学会炎症性肠病分会第一届委员会委员，广东省健康管理学会消化及炎症性肠病多学科诊治专业委员会第一届委员会常务委员，广东省医疗行业协会消化内科管理分会第一届委员会委员，广东省药学会消化专业委员会IBD学组第一届委员会委员，广东省医学会消化内镜学分会第八届委员会消化道早癌学组成员，广东省医学会消化内镜学分会第八届委员会炎症性肠病学组成员，湛江市医学会消化内镜分会第三届专业委员会常务委员，湛江市医学会消化内科分会第三届专业委员会委员。从事消化内科和消化内镜工作16年，发表核心及SCI等论文十余篇。</w:t>
      </w:r>
    </w:p>
    <w:p w14:paraId="574D36BE">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val="0"/>
          <w:lang w:val="en-US" w:eastAsia="zh-CN"/>
        </w:rPr>
      </w:pPr>
      <w:r>
        <w:rPr>
          <w:rFonts w:hint="default" w:ascii="Times New Roman" w:hAnsi="Times New Roman" w:eastAsia="宋体" w:cs="Times New Roman"/>
          <w:b w:val="0"/>
          <w:bCs w:val="0"/>
          <w:sz w:val="24"/>
          <w:szCs w:val="24"/>
        </w:rPr>
        <w:t>主要研究方向（意向承接试验专业方向或病种）：</w:t>
      </w:r>
      <w:r>
        <w:rPr>
          <w:rFonts w:hint="default" w:ascii="Times New Roman" w:hAnsi="Times New Roman" w:eastAsia="宋体" w:cs="Times New Roman"/>
          <w:b w:val="0"/>
          <w:bCs w:val="0"/>
          <w:sz w:val="24"/>
          <w:szCs w:val="24"/>
          <w:lang w:val="en-US" w:eastAsia="zh-CN"/>
        </w:rPr>
        <w:t>消化道出血</w:t>
      </w:r>
      <w:r>
        <w:rPr>
          <w:rFonts w:hint="eastAsia" w:ascii="Times New Roman" w:hAnsi="Times New Roman" w:eastAsia="宋体" w:cs="Times New Roman"/>
          <w:b w:val="0"/>
          <w:bCs w:val="0"/>
          <w:sz w:val="24"/>
          <w:szCs w:val="24"/>
          <w:lang w:val="en-US" w:eastAsia="zh-CN"/>
        </w:rPr>
        <w:t>、</w:t>
      </w:r>
      <w:r>
        <w:rPr>
          <w:rFonts w:hint="default" w:ascii="Times New Roman" w:hAnsi="Times New Roman" w:eastAsia="宋体" w:cs="Times New Roman"/>
          <w:b w:val="0"/>
          <w:bCs w:val="0"/>
          <w:sz w:val="24"/>
          <w:szCs w:val="24"/>
          <w:lang w:val="en-US" w:eastAsia="zh-CN"/>
        </w:rPr>
        <w:t>炎症性肠病</w:t>
      </w:r>
      <w:r>
        <w:rPr>
          <w:rFonts w:hint="eastAsia" w:ascii="Times New Roman" w:hAnsi="Times New Roman" w:eastAsia="宋体" w:cs="Times New Roman"/>
          <w:b w:val="0"/>
          <w:bCs w:val="0"/>
          <w:sz w:val="24"/>
          <w:szCs w:val="24"/>
          <w:lang w:val="en-US" w:eastAsia="zh-CN"/>
        </w:rPr>
        <w:t>。</w:t>
      </w:r>
    </w:p>
    <w:p w14:paraId="7F2EDB0E">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【参与研究】</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2"/>
        <w:gridCol w:w="6095"/>
        <w:gridCol w:w="1532"/>
      </w:tblGrid>
      <w:tr w14:paraId="1DC95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772" w:type="dxa"/>
            <w:vAlign w:val="center"/>
          </w:tcPr>
          <w:p w14:paraId="5125C162">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cs="Times New Roman" w:eastAsiaTheme="minorEastAsia"/>
                <w:b/>
                <w:bCs/>
                <w:color w:val="000000"/>
                <w:sz w:val="24"/>
                <w:szCs w:val="24"/>
              </w:rPr>
              <w:t>No.</w:t>
            </w:r>
          </w:p>
        </w:tc>
        <w:tc>
          <w:tcPr>
            <w:tcW w:w="6095" w:type="dxa"/>
            <w:vAlign w:val="center"/>
          </w:tcPr>
          <w:p w14:paraId="21AA845A">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cs="Times New Roman" w:eastAsiaTheme="minorEastAsia"/>
                <w:b/>
                <w:bCs/>
                <w:color w:val="000000"/>
                <w:sz w:val="24"/>
                <w:szCs w:val="24"/>
              </w:rPr>
              <w:t>项目名称</w:t>
            </w:r>
          </w:p>
        </w:tc>
        <w:tc>
          <w:tcPr>
            <w:tcW w:w="1532" w:type="dxa"/>
            <w:vAlign w:val="center"/>
          </w:tcPr>
          <w:p w14:paraId="64D62073">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cs="Times New Roman" w:eastAsiaTheme="minorEastAsia"/>
                <w:b/>
                <w:bCs/>
                <w:color w:val="000000"/>
                <w:sz w:val="24"/>
                <w:szCs w:val="24"/>
                <w:lang w:val="en-US" w:eastAsia="zh-CN"/>
              </w:rPr>
              <w:t>备注</w:t>
            </w:r>
          </w:p>
        </w:tc>
      </w:tr>
      <w:tr w14:paraId="074CD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772" w:type="dxa"/>
            <w:vAlign w:val="center"/>
          </w:tcPr>
          <w:p w14:paraId="70A41283">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1</w:t>
            </w:r>
          </w:p>
        </w:tc>
        <w:tc>
          <w:tcPr>
            <w:tcW w:w="6095" w:type="dxa"/>
            <w:vAlign w:val="center"/>
          </w:tcPr>
          <w:p w14:paraId="6E7C8BCA">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以注射用艾司奥美拉唑钠为阳性对照评价注射用艾普拉唑钠预防内镜止血治疗患者再次出血的疗效和安全性的临床研究</w:t>
            </w:r>
          </w:p>
        </w:tc>
        <w:tc>
          <w:tcPr>
            <w:tcW w:w="1532" w:type="dxa"/>
            <w:vAlign w:val="center"/>
          </w:tcPr>
          <w:p w14:paraId="0C047D9E">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b w:val="0"/>
                <w:bCs w:val="0"/>
                <w:color w:val="000000"/>
                <w:sz w:val="24"/>
                <w:szCs w:val="24"/>
                <w:lang w:val="en-US" w:eastAsia="zh-CN"/>
              </w:rPr>
              <w:t>入组：13例</w:t>
            </w:r>
          </w:p>
        </w:tc>
      </w:tr>
      <w:tr w14:paraId="0A86D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772" w:type="dxa"/>
            <w:vAlign w:val="center"/>
          </w:tcPr>
          <w:p w14:paraId="304D30C8">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2</w:t>
            </w:r>
          </w:p>
        </w:tc>
        <w:tc>
          <w:tcPr>
            <w:tcW w:w="6095" w:type="dxa"/>
            <w:vAlign w:val="center"/>
          </w:tcPr>
          <w:p w14:paraId="6DAFA840">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多中心、随机、双盲、阳性药平行对照</w:t>
            </w:r>
            <w:r>
              <w:rPr>
                <w:rFonts w:hint="default" w:ascii="Times New Roman" w:hAnsi="Times New Roman" w:eastAsia="宋体" w:cs="Times New Roman"/>
                <w:sz w:val="24"/>
                <w:szCs w:val="24"/>
                <w:lang w:val="en-US" w:eastAsia="zh-CN"/>
              </w:rPr>
              <w:t>的III</w:t>
            </w:r>
            <w:r>
              <w:rPr>
                <w:rFonts w:hint="default" w:ascii="Times New Roman" w:hAnsi="Times New Roman" w:eastAsia="宋体" w:cs="Times New Roman"/>
                <w:sz w:val="24"/>
                <w:szCs w:val="24"/>
              </w:rPr>
              <w:t>期临床研究评价H009 注射液用于急性胃和/或十二指肠溃疡引起的上消化道出血经内镜治疗后降低再出血风险的有效性和安全性</w:t>
            </w:r>
          </w:p>
        </w:tc>
        <w:tc>
          <w:tcPr>
            <w:tcW w:w="1532" w:type="dxa"/>
            <w:vAlign w:val="center"/>
          </w:tcPr>
          <w:p w14:paraId="13BD6219">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b w:val="0"/>
                <w:bCs w:val="0"/>
                <w:sz w:val="24"/>
                <w:szCs w:val="24"/>
                <w:lang w:val="en-US" w:eastAsia="zh-CN"/>
              </w:rPr>
              <w:t>入组：12例</w:t>
            </w:r>
          </w:p>
        </w:tc>
      </w:tr>
      <w:tr w14:paraId="42440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772" w:type="dxa"/>
            <w:vAlign w:val="center"/>
          </w:tcPr>
          <w:p w14:paraId="0714C1C5">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3</w:t>
            </w:r>
          </w:p>
        </w:tc>
        <w:tc>
          <w:tcPr>
            <w:tcW w:w="6095" w:type="dxa"/>
            <w:vAlign w:val="center"/>
          </w:tcPr>
          <w:p w14:paraId="1935624C">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多中心、随机、</w:t>
            </w:r>
            <w:r>
              <w:rPr>
                <w:rFonts w:hint="default" w:ascii="Times New Roman" w:hAnsi="Times New Roman" w:eastAsia="宋体" w:cs="Times New Roman"/>
                <w:sz w:val="24"/>
                <w:szCs w:val="24"/>
                <w:lang w:val="en-US" w:eastAsia="zh-CN"/>
              </w:rPr>
              <w:t>盲</w:t>
            </w:r>
            <w:r>
              <w:rPr>
                <w:rFonts w:hint="default" w:ascii="Times New Roman" w:hAnsi="Times New Roman" w:eastAsia="宋体" w:cs="Times New Roman"/>
                <w:sz w:val="24"/>
                <w:szCs w:val="24"/>
              </w:rPr>
              <w:t>法、阳性药平行对照的Ⅱ期临床研究评价H008注射液不同剂量给药方案用于消化性溃疡引起的上消化道出血经内镜治疗后降低再出血风险的有效性和安全性</w:t>
            </w:r>
          </w:p>
        </w:tc>
        <w:tc>
          <w:tcPr>
            <w:tcW w:w="1532" w:type="dxa"/>
            <w:vAlign w:val="center"/>
          </w:tcPr>
          <w:p w14:paraId="7B4AECAB">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7D603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772" w:type="dxa"/>
            <w:vAlign w:val="center"/>
          </w:tcPr>
          <w:p w14:paraId="48B02982">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4</w:t>
            </w:r>
          </w:p>
        </w:tc>
        <w:tc>
          <w:tcPr>
            <w:tcW w:w="6095" w:type="dxa"/>
            <w:vAlign w:val="center"/>
          </w:tcPr>
          <w:p w14:paraId="74149562">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注射用右旋兰索拉唑治疗胃和/或十二指肠溃疡引起的上消化道出血的有效性和安全性的随机、双盲、阳性药物平行对照、多中心I</w:t>
            </w:r>
            <w:r>
              <w:rPr>
                <w:rFonts w:hint="default" w:ascii="Times New Roman" w:hAnsi="Times New Roman" w:eastAsia="宋体" w:cs="Times New Roman"/>
                <w:sz w:val="24"/>
                <w:szCs w:val="24"/>
                <w:lang w:val="en-US" w:eastAsia="zh-CN"/>
              </w:rPr>
              <w:t>II</w:t>
            </w:r>
            <w:r>
              <w:rPr>
                <w:rFonts w:hint="default" w:ascii="Times New Roman" w:hAnsi="Times New Roman" w:eastAsia="宋体" w:cs="Times New Roman"/>
                <w:sz w:val="24"/>
                <w:szCs w:val="24"/>
              </w:rPr>
              <w:t>期临床试验</w:t>
            </w:r>
          </w:p>
        </w:tc>
        <w:tc>
          <w:tcPr>
            <w:tcW w:w="1532" w:type="dxa"/>
            <w:vAlign w:val="center"/>
          </w:tcPr>
          <w:p w14:paraId="3587B2FC">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34B67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772" w:type="dxa"/>
            <w:vAlign w:val="center"/>
          </w:tcPr>
          <w:p w14:paraId="65A043CE">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5</w:t>
            </w:r>
          </w:p>
        </w:tc>
        <w:tc>
          <w:tcPr>
            <w:tcW w:w="6095" w:type="dxa"/>
            <w:vAlign w:val="center"/>
          </w:tcPr>
          <w:p w14:paraId="0504F669">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评价HW-N2001注射液治疗消化性溃疡出血的有效性和安全性的随机、双盲、 阳性药平行对照、多中心Ⅱ期临床研究</w:t>
            </w:r>
          </w:p>
        </w:tc>
        <w:tc>
          <w:tcPr>
            <w:tcW w:w="1532" w:type="dxa"/>
            <w:vAlign w:val="center"/>
          </w:tcPr>
          <w:p w14:paraId="247EAD13">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50791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772" w:type="dxa"/>
            <w:vAlign w:val="center"/>
          </w:tcPr>
          <w:p w14:paraId="57D23061">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6</w:t>
            </w:r>
          </w:p>
        </w:tc>
        <w:tc>
          <w:tcPr>
            <w:tcW w:w="6095" w:type="dxa"/>
            <w:vAlign w:val="center"/>
          </w:tcPr>
          <w:p w14:paraId="2696342F">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评价HECB1502201注射液治疗消化性溃疡出血安全性和有效性的多中心、随机、双盲、阳性药物平行对照II/III期临床试验</w:t>
            </w:r>
          </w:p>
        </w:tc>
        <w:tc>
          <w:tcPr>
            <w:tcW w:w="1532" w:type="dxa"/>
            <w:vAlign w:val="center"/>
          </w:tcPr>
          <w:p w14:paraId="0D45B221">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3ADBE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trPr>
        <w:tc>
          <w:tcPr>
            <w:tcW w:w="772" w:type="dxa"/>
            <w:vAlign w:val="center"/>
          </w:tcPr>
          <w:p w14:paraId="459EB955">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t>7</w:t>
            </w:r>
          </w:p>
        </w:tc>
        <w:tc>
          <w:tcPr>
            <w:tcW w:w="6095" w:type="dxa"/>
            <w:vAlign w:val="center"/>
          </w:tcPr>
          <w:p w14:paraId="75C893C2">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评价HZBio2治疗中国成人中重度活动性溃疡性结肠炎患者的有效性和安全性的多中心、随机、双盲、阳性对照、平行设计的Ⅲ期研究</w:t>
            </w:r>
          </w:p>
        </w:tc>
        <w:tc>
          <w:tcPr>
            <w:tcW w:w="1532" w:type="dxa"/>
            <w:vAlign w:val="center"/>
          </w:tcPr>
          <w:p w14:paraId="2E8B7681">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bl>
    <w:p w14:paraId="1399C768">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jc w:val="left"/>
        <w:textAlignment w:val="auto"/>
        <w:rPr>
          <w:rFonts w:hint="default" w:ascii="Times New Roman" w:hAnsi="Times New Roman" w:eastAsia="宋体" w:cs="Times New Roman"/>
          <w:sz w:val="24"/>
          <w:szCs w:val="24"/>
          <w:lang w:val="en-US" w:eastAsia="zh-CN"/>
        </w:rPr>
      </w:pPr>
    </w:p>
    <w:p w14:paraId="7505F1EF">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jc w:val="left"/>
        <w:textAlignment w:val="auto"/>
        <w:rPr>
          <w:rFonts w:hint="default" w:ascii="Times New Roman" w:hAnsi="Times New Roman" w:eastAsia="宋体" w:cs="Times New Roman"/>
          <w:sz w:val="24"/>
          <w:szCs w:val="24"/>
          <w:lang w:val="en-US" w:eastAsia="zh-CN"/>
        </w:rPr>
      </w:pPr>
    </w:p>
    <w:p w14:paraId="1E78D17F">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both"/>
        <w:textAlignment w:val="auto"/>
        <w:rPr>
          <w:rStyle w:val="8"/>
          <w:rFonts w:hint="eastAsia" w:ascii="Times New Roman" w:hAnsi="Times New Roman" w:eastAsia="宋体" w:cs="Times New Roman"/>
          <w:b w:val="0"/>
          <w:bCs/>
          <w:sz w:val="24"/>
          <w:szCs w:val="24"/>
          <w:lang w:eastAsia="zh-CN"/>
        </w:rPr>
      </w:pPr>
    </w:p>
    <w:p w14:paraId="483A2CFA">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Style w:val="8"/>
          <w:rFonts w:hint="default" w:ascii="Times New Roman" w:hAnsi="Times New Roman" w:eastAsia="宋体" w:cs="Times New Roman"/>
          <w:b w:val="0"/>
          <w:bCs/>
          <w:sz w:val="24"/>
          <w:szCs w:val="24"/>
        </w:rPr>
      </w:pPr>
      <w:r>
        <w:rPr>
          <w:rStyle w:val="8"/>
          <w:rFonts w:hint="eastAsia" w:ascii="Times New Roman" w:hAnsi="Times New Roman" w:eastAsia="宋体" w:cs="Times New Roman"/>
          <w:b w:val="0"/>
          <w:bCs/>
          <w:sz w:val="24"/>
          <w:szCs w:val="24"/>
          <w:lang w:eastAsia="zh-CN"/>
        </w:rPr>
        <w:drawing>
          <wp:inline distT="0" distB="0" distL="114300" distR="114300">
            <wp:extent cx="1978025" cy="2723515"/>
            <wp:effectExtent l="0" t="0" r="3175" b="635"/>
            <wp:docPr id="2" name="图片 2" descr="红底证件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红底证件照"/>
                    <pic:cNvPicPr>
                      <a:picLocks noChangeAspect="1"/>
                    </pic:cNvPicPr>
                  </pic:nvPicPr>
                  <pic:blipFill>
                    <a:blip r:embed="rId6"/>
                    <a:stretch>
                      <a:fillRect/>
                    </a:stretch>
                  </pic:blipFill>
                  <pic:spPr>
                    <a:xfrm>
                      <a:off x="0" y="0"/>
                      <a:ext cx="1978025" cy="2723515"/>
                    </a:xfrm>
                    <a:prstGeom prst="rect">
                      <a:avLst/>
                    </a:prstGeom>
                  </pic:spPr>
                </pic:pic>
              </a:graphicData>
            </a:graphic>
          </wp:inline>
        </w:drawing>
      </w:r>
    </w:p>
    <w:p w14:paraId="0DFDA580">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both"/>
        <w:textAlignment w:val="auto"/>
        <w:rPr>
          <w:rStyle w:val="8"/>
          <w:rFonts w:hint="default" w:ascii="Times New Roman" w:hAnsi="Times New Roman" w:eastAsia="宋体" w:cs="Times New Roman"/>
          <w:b w:val="0"/>
          <w:bCs/>
          <w:sz w:val="24"/>
          <w:szCs w:val="24"/>
        </w:rPr>
      </w:pPr>
    </w:p>
    <w:p w14:paraId="3BE94209">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Times New Roman" w:hAnsi="Times New Roman" w:eastAsia="宋体" w:cs="Times New Roman"/>
          <w:b w:val="0"/>
          <w:bCs/>
        </w:rPr>
      </w:pPr>
      <w:r>
        <w:rPr>
          <w:rStyle w:val="8"/>
          <w:rFonts w:hint="default" w:ascii="Times New Roman" w:hAnsi="Times New Roman" w:eastAsia="宋体" w:cs="Times New Roman"/>
          <w:b w:val="0"/>
          <w:bCs/>
          <w:sz w:val="24"/>
          <w:szCs w:val="24"/>
        </w:rPr>
        <w:t xml:space="preserve">姓名： </w:t>
      </w:r>
      <w:r>
        <w:rPr>
          <w:rStyle w:val="8"/>
          <w:rFonts w:hint="eastAsia" w:ascii="Times New Roman" w:hAnsi="Times New Roman" w:cs="Times New Roman"/>
          <w:b w:val="0"/>
          <w:bCs/>
          <w:sz w:val="24"/>
          <w:szCs w:val="24"/>
          <w:lang w:val="en-US" w:eastAsia="zh-CN"/>
        </w:rPr>
        <w:t>周思君</w:t>
      </w:r>
      <w:r>
        <w:rPr>
          <w:rStyle w:val="8"/>
          <w:rFonts w:hint="eastAsia" w:ascii="Times New Roman" w:hAnsi="Times New Roman" w:eastAsia="宋体" w:cs="Times New Roman"/>
          <w:b w:val="0"/>
          <w:bCs/>
          <w:sz w:val="24"/>
          <w:szCs w:val="24"/>
          <w:lang w:val="en-US" w:eastAsia="zh-CN"/>
        </w:rPr>
        <w:t xml:space="preserve">   </w:t>
      </w:r>
      <w:r>
        <w:rPr>
          <w:rStyle w:val="8"/>
          <w:rFonts w:hint="default" w:ascii="Times New Roman" w:hAnsi="Times New Roman" w:eastAsia="宋体" w:cs="Times New Roman"/>
          <w:b w:val="0"/>
          <w:bCs/>
          <w:sz w:val="24"/>
          <w:szCs w:val="24"/>
        </w:rPr>
        <w:t xml:space="preserve">职称： </w:t>
      </w:r>
      <w:r>
        <w:rPr>
          <w:rStyle w:val="8"/>
          <w:rFonts w:hint="default" w:ascii="Times New Roman" w:hAnsi="Times New Roman" w:eastAsia="宋体" w:cs="Times New Roman"/>
          <w:b w:val="0"/>
          <w:bCs/>
          <w:sz w:val="24"/>
          <w:szCs w:val="24"/>
          <w:lang w:eastAsia="zh-CN"/>
        </w:rPr>
        <w:t>副</w:t>
      </w:r>
      <w:r>
        <w:rPr>
          <w:rStyle w:val="8"/>
          <w:rFonts w:hint="default" w:ascii="Times New Roman" w:hAnsi="Times New Roman" w:eastAsia="宋体" w:cs="Times New Roman"/>
          <w:b w:val="0"/>
          <w:bCs/>
          <w:sz w:val="24"/>
          <w:szCs w:val="24"/>
        </w:rPr>
        <w:t>主任医师</w:t>
      </w:r>
    </w:p>
    <w:p w14:paraId="32DCC003">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0" w:firstLineChars="200"/>
        <w:jc w:val="both"/>
        <w:textAlignment w:val="auto"/>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联系电话（座机或手机）：0759-3157219  邮箱：</w:t>
      </w:r>
      <w:r>
        <w:rPr>
          <w:rFonts w:hint="eastAsia" w:ascii="Times New Roman" w:hAnsi="Times New Roman" w:cs="Times New Roman"/>
          <w:b w:val="0"/>
          <w:bCs w:val="0"/>
          <w:sz w:val="24"/>
          <w:szCs w:val="24"/>
          <w:lang w:val="en-US" w:eastAsia="zh-CN"/>
        </w:rPr>
        <w:t>zsjyoko@126.com</w:t>
      </w:r>
    </w:p>
    <w:p w14:paraId="20BE2D32">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个人简介：</w:t>
      </w:r>
      <w:r>
        <w:rPr>
          <w:rFonts w:hint="eastAsia" w:ascii="Times New Roman" w:hAnsi="Times New Roman" w:cs="Times New Roman"/>
          <w:sz w:val="24"/>
          <w:szCs w:val="24"/>
          <w:lang w:val="en-US" w:eastAsia="zh-CN"/>
        </w:rPr>
        <w:t>周思君</w:t>
      </w:r>
      <w:r>
        <w:rPr>
          <w:rFonts w:hint="default" w:ascii="Times New Roman" w:hAnsi="Times New Roman" w:eastAsia="宋体" w:cs="Times New Roman"/>
          <w:sz w:val="24"/>
          <w:szCs w:val="24"/>
          <w:lang w:val="en-US" w:eastAsia="zh-CN"/>
        </w:rPr>
        <w:t>，女，硕士研究生，湛江中心人民医院消化内科副主任医师。</w:t>
      </w:r>
      <w:r>
        <w:rPr>
          <w:rFonts w:hint="eastAsia" w:ascii="Times New Roman" w:hAnsi="Times New Roman" w:cs="Times New Roman"/>
          <w:sz w:val="24"/>
          <w:szCs w:val="24"/>
          <w:lang w:val="en-US" w:eastAsia="zh-CN"/>
        </w:rPr>
        <w:t>2012年毕业于中山大学孙逸仙纪念医院。2019年赴美国堪萨斯大学医学中心消化内科访问学习。</w:t>
      </w:r>
      <w:r>
        <w:rPr>
          <w:rFonts w:hint="default" w:ascii="Times New Roman" w:hAnsi="Times New Roman" w:eastAsia="宋体" w:cs="Times New Roman"/>
          <w:sz w:val="24"/>
          <w:szCs w:val="24"/>
          <w:lang w:val="en-US" w:eastAsia="zh-CN"/>
        </w:rPr>
        <w:t>20</w:t>
      </w:r>
      <w:r>
        <w:rPr>
          <w:rFonts w:hint="eastAsia" w:ascii="Times New Roman" w:hAnsi="Times New Roman" w:cs="Times New Roman"/>
          <w:sz w:val="24"/>
          <w:szCs w:val="24"/>
          <w:lang w:val="en-US" w:eastAsia="zh-CN"/>
        </w:rPr>
        <w:t>19-2020</w:t>
      </w:r>
      <w:r>
        <w:rPr>
          <w:rFonts w:hint="default" w:ascii="Times New Roman" w:hAnsi="Times New Roman" w:eastAsia="宋体" w:cs="Times New Roman"/>
          <w:sz w:val="24"/>
          <w:szCs w:val="24"/>
          <w:lang w:val="en-US" w:eastAsia="zh-CN"/>
        </w:rPr>
        <w:t>年</w:t>
      </w:r>
      <w:r>
        <w:rPr>
          <w:rFonts w:hint="eastAsia" w:ascii="Times New Roman" w:hAnsi="Times New Roman" w:cs="Times New Roman"/>
          <w:sz w:val="24"/>
          <w:szCs w:val="24"/>
          <w:lang w:val="en-US" w:eastAsia="zh-CN"/>
        </w:rPr>
        <w:t>赴中山大学肿瘤防治中心进修学习</w:t>
      </w:r>
      <w:r>
        <w:rPr>
          <w:rFonts w:hint="default" w:ascii="Times New Roman" w:hAnsi="Times New Roman" w:eastAsia="宋体" w:cs="Times New Roman"/>
          <w:sz w:val="24"/>
          <w:szCs w:val="24"/>
          <w:lang w:val="en-US" w:eastAsia="zh-CN"/>
        </w:rPr>
        <w:t>。现兼任</w:t>
      </w:r>
      <w:r>
        <w:rPr>
          <w:rFonts w:hint="eastAsia"/>
          <w:sz w:val="24"/>
        </w:rPr>
        <w:t>广东省肝脏病学会超声内镜专业委员</w:t>
      </w:r>
      <w:r>
        <w:rPr>
          <w:rFonts w:hint="eastAsia"/>
          <w:sz w:val="24"/>
          <w:lang w:eastAsia="zh-CN"/>
        </w:rPr>
        <w:t>。</w:t>
      </w:r>
      <w:r>
        <w:rPr>
          <w:rFonts w:hint="eastAsia"/>
          <w:sz w:val="24"/>
        </w:rPr>
        <w:t>广东省医师协会消化内镜医师分会第四届委员会</w:t>
      </w:r>
      <w:r>
        <w:rPr>
          <w:rFonts w:hint="eastAsia"/>
          <w:sz w:val="24"/>
          <w:lang w:eastAsia="zh-CN"/>
        </w:rPr>
        <w:t>。</w:t>
      </w:r>
      <w:r>
        <w:rPr>
          <w:rFonts w:hint="eastAsia"/>
          <w:sz w:val="24"/>
        </w:rPr>
        <w:t>广东省临床医学学会脂肪肝专业委员会第一届青年委员</w:t>
      </w:r>
      <w:r>
        <w:rPr>
          <w:rFonts w:hint="eastAsia"/>
          <w:sz w:val="24"/>
          <w:lang w:eastAsia="zh-CN"/>
        </w:rPr>
        <w:t>。</w:t>
      </w:r>
      <w:r>
        <w:rPr>
          <w:rFonts w:hint="eastAsia"/>
          <w:sz w:val="24"/>
          <w:lang w:val="en-US" w:eastAsia="zh-CN"/>
        </w:rPr>
        <w:t>广东省医学会消化病学分会第十一届委员会肿瘤学组成员。广东省健康管理学会消化内镜MDT专业委员会第二届委员。湛江市医学会消化内镜学分会第三届专业委员会常务委员。</w:t>
      </w:r>
    </w:p>
    <w:p w14:paraId="39171047">
      <w:pPr>
        <w:pStyle w:val="4"/>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b w:val="0"/>
          <w:bCs w:val="0"/>
          <w:sz w:val="24"/>
          <w:szCs w:val="24"/>
        </w:rPr>
        <w:t>主要研究方向（意向承接试验专业方向或病种）：</w:t>
      </w:r>
      <w:r>
        <w:rPr>
          <w:rFonts w:hint="default" w:ascii="Times New Roman" w:hAnsi="Times New Roman" w:eastAsia="宋体" w:cs="Times New Roman"/>
          <w:b w:val="0"/>
          <w:bCs w:val="0"/>
          <w:sz w:val="24"/>
          <w:szCs w:val="24"/>
          <w:lang w:val="en-US" w:eastAsia="zh-CN"/>
        </w:rPr>
        <w:t>消化道出血</w:t>
      </w:r>
      <w:r>
        <w:rPr>
          <w:rFonts w:hint="eastAsia" w:ascii="Times New Roman" w:hAnsi="Times New Roman" w:eastAsia="宋体" w:cs="Times New Roman"/>
          <w:b w:val="0"/>
          <w:bCs w:val="0"/>
          <w:sz w:val="24"/>
          <w:szCs w:val="24"/>
          <w:lang w:val="en-US" w:eastAsia="zh-CN"/>
        </w:rPr>
        <w:t>、</w:t>
      </w:r>
      <w:r>
        <w:rPr>
          <w:rFonts w:hint="eastAsia" w:ascii="Times New Roman" w:hAnsi="Times New Roman" w:cs="Times New Roman"/>
          <w:b w:val="0"/>
          <w:bCs w:val="0"/>
          <w:sz w:val="24"/>
          <w:szCs w:val="24"/>
          <w:lang w:val="en-US" w:eastAsia="zh-CN"/>
        </w:rPr>
        <w:t>反流性食管炎、脂肪肝</w:t>
      </w:r>
      <w:r>
        <w:rPr>
          <w:rFonts w:hint="eastAsia" w:ascii="Times New Roman" w:hAnsi="Times New Roman" w:eastAsia="宋体" w:cs="Times New Roman"/>
          <w:b w:val="0"/>
          <w:bCs w:val="0"/>
          <w:sz w:val="24"/>
          <w:szCs w:val="24"/>
          <w:lang w:val="en-US" w:eastAsia="zh-CN"/>
        </w:rPr>
        <w:t>。</w:t>
      </w:r>
    </w:p>
    <w:p w14:paraId="7ABB5B00">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【参与研究】</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6381"/>
        <w:gridCol w:w="1473"/>
      </w:tblGrid>
      <w:tr w14:paraId="22741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671" w:type="dxa"/>
            <w:vAlign w:val="center"/>
          </w:tcPr>
          <w:p w14:paraId="589F343D">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cs="Times New Roman" w:eastAsiaTheme="minorEastAsia"/>
                <w:b/>
                <w:bCs/>
                <w:color w:val="000000"/>
                <w:sz w:val="24"/>
                <w:szCs w:val="24"/>
              </w:rPr>
              <w:t>No.</w:t>
            </w:r>
          </w:p>
        </w:tc>
        <w:tc>
          <w:tcPr>
            <w:tcW w:w="6381" w:type="dxa"/>
            <w:vAlign w:val="center"/>
          </w:tcPr>
          <w:p w14:paraId="5DBCC898">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cs="Times New Roman" w:eastAsiaTheme="minorEastAsia"/>
                <w:b/>
                <w:bCs/>
                <w:color w:val="000000"/>
                <w:sz w:val="24"/>
                <w:szCs w:val="24"/>
              </w:rPr>
              <w:t>项目名称</w:t>
            </w:r>
          </w:p>
        </w:tc>
        <w:tc>
          <w:tcPr>
            <w:tcW w:w="1473" w:type="dxa"/>
            <w:vAlign w:val="center"/>
          </w:tcPr>
          <w:p w14:paraId="1B5AA672">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leftChars="0" w:right="0" w:rightChars="0" w:firstLine="0" w:firstLineChars="0"/>
              <w:jc w:val="center"/>
              <w:textAlignment w:val="auto"/>
              <w:rPr>
                <w:rFonts w:hint="default" w:ascii="Times New Roman" w:hAnsi="Times New Roman" w:eastAsia="宋体" w:cs="Times New Roman"/>
                <w:sz w:val="24"/>
                <w:szCs w:val="24"/>
                <w:vertAlign w:val="baseline"/>
                <w:lang w:val="en-US" w:eastAsia="zh-CN"/>
              </w:rPr>
            </w:pPr>
            <w:r>
              <w:rPr>
                <w:rFonts w:hint="default" w:ascii="Times New Roman" w:hAnsi="Times New Roman" w:cs="Times New Roman" w:eastAsiaTheme="minorEastAsia"/>
                <w:b/>
                <w:bCs/>
                <w:color w:val="000000"/>
                <w:sz w:val="24"/>
                <w:szCs w:val="24"/>
                <w:lang w:val="en-US" w:eastAsia="zh-CN"/>
              </w:rPr>
              <w:t>备注</w:t>
            </w:r>
          </w:p>
        </w:tc>
      </w:tr>
      <w:tr w14:paraId="084B8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671" w:type="dxa"/>
            <w:vAlign w:val="center"/>
          </w:tcPr>
          <w:p w14:paraId="4A856BFC">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sz w:val="24"/>
                <w:szCs w:val="24"/>
                <w:vertAlign w:val="baseline"/>
                <w:lang w:val="en-US" w:eastAsia="zh-CN"/>
              </w:rPr>
              <w:t>1</w:t>
            </w:r>
          </w:p>
        </w:tc>
        <w:tc>
          <w:tcPr>
            <w:tcW w:w="6381" w:type="dxa"/>
            <w:vAlign w:val="center"/>
          </w:tcPr>
          <w:p w14:paraId="7884947A">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多中心、随机、双盲、阳性药平行对照</w:t>
            </w:r>
            <w:r>
              <w:rPr>
                <w:rFonts w:hint="default" w:ascii="Times New Roman" w:hAnsi="Times New Roman" w:eastAsia="宋体" w:cs="Times New Roman"/>
                <w:sz w:val="24"/>
                <w:szCs w:val="24"/>
                <w:lang w:val="en-US" w:eastAsia="zh-CN"/>
              </w:rPr>
              <w:t>的III</w:t>
            </w:r>
            <w:r>
              <w:rPr>
                <w:rFonts w:hint="default" w:ascii="Times New Roman" w:hAnsi="Times New Roman" w:eastAsia="宋体" w:cs="Times New Roman"/>
                <w:sz w:val="24"/>
                <w:szCs w:val="24"/>
              </w:rPr>
              <w:t>期临床研究评价H009 注射液用于急性胃和/或十二指肠溃疡引起的上消化道出血经内镜治疗后降低再出血风险的有效性和安全性</w:t>
            </w:r>
          </w:p>
        </w:tc>
        <w:tc>
          <w:tcPr>
            <w:tcW w:w="1473" w:type="dxa"/>
            <w:vAlign w:val="center"/>
          </w:tcPr>
          <w:p w14:paraId="279036F0">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b w:val="0"/>
                <w:bCs w:val="0"/>
                <w:sz w:val="24"/>
                <w:szCs w:val="24"/>
                <w:lang w:val="en-US" w:eastAsia="zh-CN"/>
              </w:rPr>
              <w:t>入组：12例</w:t>
            </w:r>
          </w:p>
        </w:tc>
      </w:tr>
      <w:tr w14:paraId="0909E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671" w:type="dxa"/>
            <w:vAlign w:val="center"/>
          </w:tcPr>
          <w:p w14:paraId="67C6A0DC">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sz w:val="24"/>
                <w:szCs w:val="24"/>
                <w:vertAlign w:val="baseline"/>
                <w:lang w:val="en-US" w:eastAsia="zh-CN"/>
              </w:rPr>
              <w:t>2</w:t>
            </w:r>
          </w:p>
        </w:tc>
        <w:tc>
          <w:tcPr>
            <w:tcW w:w="6381" w:type="dxa"/>
            <w:vAlign w:val="center"/>
          </w:tcPr>
          <w:p w14:paraId="2138EB75">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多中心、随机、</w:t>
            </w:r>
            <w:r>
              <w:rPr>
                <w:rFonts w:hint="default" w:ascii="Times New Roman" w:hAnsi="Times New Roman" w:eastAsia="宋体" w:cs="Times New Roman"/>
                <w:sz w:val="24"/>
                <w:szCs w:val="24"/>
                <w:lang w:val="en-US" w:eastAsia="zh-CN"/>
              </w:rPr>
              <w:t>盲</w:t>
            </w:r>
            <w:r>
              <w:rPr>
                <w:rFonts w:hint="default" w:ascii="Times New Roman" w:hAnsi="Times New Roman" w:eastAsia="宋体" w:cs="Times New Roman"/>
                <w:sz w:val="24"/>
                <w:szCs w:val="24"/>
              </w:rPr>
              <w:t>法、阳性药平行对照的Ⅱ期临床研究评价H008注射液不同剂量给药方案用于消化性溃疡引起的上消化道出血经内镜治疗后降低再出血风险的有效性和安全性</w:t>
            </w:r>
          </w:p>
        </w:tc>
        <w:tc>
          <w:tcPr>
            <w:tcW w:w="1473" w:type="dxa"/>
            <w:vAlign w:val="center"/>
          </w:tcPr>
          <w:p w14:paraId="3B81FABA">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b w:val="0"/>
                <w:bCs w:val="0"/>
                <w:sz w:val="24"/>
                <w:szCs w:val="24"/>
                <w:lang w:val="en-US" w:eastAsia="zh-CN"/>
              </w:rPr>
              <w:t>入组：5例</w:t>
            </w:r>
          </w:p>
        </w:tc>
      </w:tr>
      <w:tr w14:paraId="104CE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671" w:type="dxa"/>
            <w:vAlign w:val="center"/>
          </w:tcPr>
          <w:p w14:paraId="50B65972">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sz w:val="24"/>
                <w:szCs w:val="24"/>
                <w:vertAlign w:val="baseline"/>
                <w:lang w:val="en-US" w:eastAsia="zh-CN"/>
              </w:rPr>
              <w:t>3</w:t>
            </w:r>
          </w:p>
        </w:tc>
        <w:tc>
          <w:tcPr>
            <w:tcW w:w="6381" w:type="dxa"/>
            <w:vAlign w:val="center"/>
          </w:tcPr>
          <w:p w14:paraId="3B77E503">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注射用右旋兰索拉唑治疗胃和/或十二指肠溃疡引起的上消化道出血的有效性和安全性的随机、双盲、阳性药物平行对照、多中心I</w:t>
            </w:r>
            <w:r>
              <w:rPr>
                <w:rFonts w:hint="default" w:ascii="Times New Roman" w:hAnsi="Times New Roman" w:eastAsia="宋体" w:cs="Times New Roman"/>
                <w:sz w:val="24"/>
                <w:szCs w:val="24"/>
                <w:lang w:val="en-US" w:eastAsia="zh-CN"/>
              </w:rPr>
              <w:t>II</w:t>
            </w:r>
            <w:r>
              <w:rPr>
                <w:rFonts w:hint="default" w:ascii="Times New Roman" w:hAnsi="Times New Roman" w:eastAsia="宋体" w:cs="Times New Roman"/>
                <w:sz w:val="24"/>
                <w:szCs w:val="24"/>
              </w:rPr>
              <w:t>期临床试验</w:t>
            </w:r>
          </w:p>
        </w:tc>
        <w:tc>
          <w:tcPr>
            <w:tcW w:w="1473" w:type="dxa"/>
            <w:vAlign w:val="center"/>
          </w:tcPr>
          <w:p w14:paraId="65EDBA8E">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69C49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671" w:type="dxa"/>
            <w:vAlign w:val="center"/>
          </w:tcPr>
          <w:p w14:paraId="6F324B06">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sz w:val="24"/>
                <w:szCs w:val="24"/>
                <w:vertAlign w:val="baseline"/>
                <w:lang w:val="en-US" w:eastAsia="zh-CN"/>
              </w:rPr>
              <w:t>4</w:t>
            </w:r>
          </w:p>
        </w:tc>
        <w:tc>
          <w:tcPr>
            <w:tcW w:w="6381" w:type="dxa"/>
            <w:vAlign w:val="center"/>
          </w:tcPr>
          <w:p w14:paraId="341D09D3">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评价HW-N2001注射液治疗消化性溃疡出血的有效性和安全性的随机、双盲、 阳性药平行对照、多中心Ⅱ期临床研究</w:t>
            </w:r>
          </w:p>
        </w:tc>
        <w:tc>
          <w:tcPr>
            <w:tcW w:w="1473" w:type="dxa"/>
            <w:vAlign w:val="center"/>
          </w:tcPr>
          <w:p w14:paraId="00E43BEC">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155F6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671" w:type="dxa"/>
            <w:vAlign w:val="center"/>
          </w:tcPr>
          <w:p w14:paraId="47A6D0B8">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sz w:val="24"/>
                <w:szCs w:val="24"/>
                <w:vertAlign w:val="baseline"/>
                <w:lang w:val="en-US" w:eastAsia="zh-CN"/>
              </w:rPr>
              <w:t>5</w:t>
            </w:r>
          </w:p>
        </w:tc>
        <w:tc>
          <w:tcPr>
            <w:tcW w:w="6381" w:type="dxa"/>
            <w:vAlign w:val="center"/>
          </w:tcPr>
          <w:p w14:paraId="7AC62299">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rPr>
              <w:t>评价HECB1502201注射液治疗消化性溃疡出血安全性和有效性的多中心、随机、双盲、阳性药物平行对照II/III期临床试验</w:t>
            </w:r>
          </w:p>
        </w:tc>
        <w:tc>
          <w:tcPr>
            <w:tcW w:w="1473" w:type="dxa"/>
            <w:vAlign w:val="center"/>
          </w:tcPr>
          <w:p w14:paraId="15D9168B">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6A1A5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trPr>
        <w:tc>
          <w:tcPr>
            <w:tcW w:w="671" w:type="dxa"/>
            <w:vAlign w:val="center"/>
          </w:tcPr>
          <w:p w14:paraId="69A5FEB0">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r>
              <w:rPr>
                <w:rFonts w:hint="eastAsia" w:ascii="Times New Roman" w:hAnsi="Times New Roman" w:cs="Times New Roman"/>
                <w:sz w:val="24"/>
                <w:szCs w:val="24"/>
                <w:vertAlign w:val="baseline"/>
                <w:lang w:val="en-US" w:eastAsia="zh-CN"/>
              </w:rPr>
              <w:t>6</w:t>
            </w:r>
          </w:p>
        </w:tc>
        <w:tc>
          <w:tcPr>
            <w:tcW w:w="6381" w:type="dxa"/>
            <w:vAlign w:val="center"/>
          </w:tcPr>
          <w:p w14:paraId="1ACC2B11">
            <w:pPr>
              <w:spacing w:line="360" w:lineRule="auto"/>
              <w:jc w:val="center"/>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color w:val="000000"/>
                <w:sz w:val="24"/>
                <w:szCs w:val="24"/>
              </w:rPr>
              <w:t>JP-1366 片与耐信®在反流性食管炎受试者中的多中心、随机、双盲双模拟、阳性平行对照的 III 期临床研究</w:t>
            </w:r>
          </w:p>
        </w:tc>
        <w:tc>
          <w:tcPr>
            <w:tcW w:w="1473" w:type="dxa"/>
            <w:vAlign w:val="center"/>
          </w:tcPr>
          <w:p w14:paraId="652E0215">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r w14:paraId="67F37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trPr>
        <w:tc>
          <w:tcPr>
            <w:tcW w:w="671" w:type="dxa"/>
            <w:vAlign w:val="center"/>
          </w:tcPr>
          <w:p w14:paraId="0CAB856F">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cs="Times New Roman"/>
                <w:sz w:val="24"/>
                <w:szCs w:val="24"/>
                <w:vertAlign w:val="baseline"/>
                <w:lang w:val="en-US" w:eastAsia="zh-CN"/>
              </w:rPr>
            </w:pPr>
            <w:r>
              <w:rPr>
                <w:rFonts w:hint="eastAsia" w:ascii="Times New Roman" w:hAnsi="Times New Roman" w:cs="Times New Roman"/>
                <w:sz w:val="24"/>
                <w:szCs w:val="24"/>
                <w:vertAlign w:val="baseline"/>
                <w:lang w:val="en-US" w:eastAsia="zh-CN"/>
              </w:rPr>
              <w:t>7</w:t>
            </w:r>
          </w:p>
        </w:tc>
        <w:tc>
          <w:tcPr>
            <w:tcW w:w="6381" w:type="dxa"/>
            <w:vAlign w:val="center"/>
          </w:tcPr>
          <w:p w14:paraId="2A03EA7F">
            <w:pPr>
              <w:spacing w:line="360" w:lineRule="auto"/>
              <w:jc w:val="center"/>
              <w:rPr>
                <w:rFonts w:hint="default" w:ascii="Times New Roman" w:hAnsi="Times New Roman" w:eastAsia="宋体" w:cs="Times New Roman"/>
                <w:color w:val="000000"/>
                <w:sz w:val="24"/>
                <w:szCs w:val="24"/>
                <w:lang w:val="en-US" w:eastAsia="zh-CN"/>
              </w:rPr>
            </w:pPr>
            <w:r>
              <w:rPr>
                <w:rFonts w:hint="eastAsia" w:ascii="Times New Roman" w:hAnsi="Times New Roman" w:cs="Times New Roman"/>
                <w:color w:val="000000"/>
                <w:sz w:val="24"/>
                <w:szCs w:val="24"/>
                <w:lang w:val="en-US" w:eastAsia="zh-CN"/>
              </w:rPr>
              <w:t>人类APBA2、COL4A2/COL4A2基因甲基化检测试剂盒（荧光PCR法）临床试验方案</w:t>
            </w:r>
          </w:p>
        </w:tc>
        <w:tc>
          <w:tcPr>
            <w:tcW w:w="1473" w:type="dxa"/>
            <w:vAlign w:val="center"/>
          </w:tcPr>
          <w:p w14:paraId="348997AC">
            <w:pPr>
              <w:keepNext w:val="0"/>
              <w:keepLines w:val="0"/>
              <w:pageBreakBefore w:val="0"/>
              <w:widowControl/>
              <w:kinsoku/>
              <w:wordWrap/>
              <w:overflowPunct/>
              <w:topLinePunct w:val="0"/>
              <w:autoSpaceDE/>
              <w:autoSpaceDN/>
              <w:bidi w:val="0"/>
              <w:adjustRightInd/>
              <w:snapToGrid/>
              <w:spacing w:before="180" w:beforeAutospacing="0" w:after="180" w:afterAutospacing="0" w:line="240" w:lineRule="auto"/>
              <w:jc w:val="center"/>
              <w:textAlignment w:val="auto"/>
              <w:rPr>
                <w:rFonts w:hint="default" w:ascii="Times New Roman" w:hAnsi="Times New Roman" w:eastAsia="宋体" w:cs="Times New Roman"/>
                <w:sz w:val="24"/>
                <w:szCs w:val="24"/>
                <w:vertAlign w:val="baseline"/>
                <w:lang w:val="en-US" w:eastAsia="zh-CN"/>
              </w:rPr>
            </w:pPr>
          </w:p>
        </w:tc>
      </w:tr>
    </w:tbl>
    <w:p w14:paraId="0C8BE769">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jc w:val="left"/>
        <w:textAlignment w:val="auto"/>
        <w:rPr>
          <w:rFonts w:hint="default" w:ascii="Times New Roman" w:hAnsi="Times New Roman" w:eastAsia="宋体" w:cs="Times New Roman"/>
          <w:sz w:val="24"/>
          <w:szCs w:val="24"/>
          <w:lang w:val="en-US" w:eastAsia="zh-CN"/>
        </w:rPr>
      </w:pPr>
    </w:p>
    <w:sectPr>
      <w:pgSz w:w="11906" w:h="16838"/>
      <w:pgMar w:top="1440" w:right="1797" w:bottom="1440" w:left="179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FEA7CA"/>
    <w:multiLevelType w:val="singleLevel"/>
    <w:tmpl w:val="0DFEA7CA"/>
    <w:lvl w:ilvl="0" w:tentative="0">
      <w:start w:val="1"/>
      <w:numFmt w:val="bullet"/>
      <w:lvlText w:val=""/>
      <w:lvlJc w:val="left"/>
      <w:pPr>
        <w:ind w:left="42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763EE"/>
    <w:rsid w:val="09BA045C"/>
    <w:rsid w:val="0A382C50"/>
    <w:rsid w:val="0C7E2855"/>
    <w:rsid w:val="0D796E2B"/>
    <w:rsid w:val="12863E8D"/>
    <w:rsid w:val="169508A9"/>
    <w:rsid w:val="188622FA"/>
    <w:rsid w:val="26DF541A"/>
    <w:rsid w:val="2F3D71E0"/>
    <w:rsid w:val="30DD1FE3"/>
    <w:rsid w:val="3BCD117B"/>
    <w:rsid w:val="3F7E2341"/>
    <w:rsid w:val="5DED34A2"/>
    <w:rsid w:val="6A1A7983"/>
    <w:rsid w:val="709F0667"/>
    <w:rsid w:val="726245AA"/>
    <w:rsid w:val="7B1B2C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paragraph" w:styleId="2">
    <w:name w:val="heading 2"/>
    <w:basedOn w:val="1"/>
    <w:next w:val="1"/>
    <w:qFormat/>
    <w:uiPriority w:val="0"/>
    <w:pPr>
      <w:spacing w:before="0" w:beforeAutospacing="1" w:after="0" w:afterAutospacing="1"/>
      <w:jc w:val="left"/>
    </w:pPr>
    <w:rPr>
      <w:rFonts w:hint="eastAsia" w:ascii="宋体" w:hAnsi="宋体" w:eastAsia="宋体" w:cs="宋体"/>
      <w:b/>
      <w:bCs/>
      <w:kern w:val="0"/>
      <w:sz w:val="36"/>
      <w:szCs w:val="36"/>
      <w:lang w:val="en-US" w:eastAsia="zh-CN"/>
    </w:rPr>
  </w:style>
  <w:style w:type="paragraph" w:styleId="3">
    <w:name w:val="heading 3"/>
    <w:basedOn w:val="1"/>
    <w:next w:val="1"/>
    <w:qFormat/>
    <w:uiPriority w:val="0"/>
    <w:pPr>
      <w:spacing w:before="0" w:beforeAutospacing="1" w:after="0" w:afterAutospacing="1"/>
      <w:jc w:val="left"/>
    </w:pPr>
    <w:rPr>
      <w:rFonts w:hint="eastAsia" w:ascii="宋体" w:hAnsi="宋体" w:eastAsia="宋体" w:cs="宋体"/>
      <w:b/>
      <w:bCs/>
      <w:kern w:val="0"/>
      <w:sz w:val="27"/>
      <w:szCs w:val="27"/>
      <w:lang w:val="en-US" w:eastAsia="zh-CN"/>
    </w:rPr>
  </w:style>
  <w:style w:type="character" w:default="1" w:styleId="7">
    <w:name w:val="Default Paragraph Font"/>
    <w:qFormat/>
    <w:uiPriority w:val="0"/>
  </w:style>
  <w:style w:type="table" w:default="1" w:styleId="5">
    <w:name w:val="Normal Table"/>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3876</Words>
  <Characters>4347</Characters>
  <Paragraphs>120</Paragraphs>
  <TotalTime>8</TotalTime>
  <ScaleCrop>false</ScaleCrop>
  <LinksUpToDate>false</LinksUpToDate>
  <CharactersWithSpaces>4399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2026-01-16T07:26:37Z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27478F6A3EE440FAB6B4972A411EBF20_13</vt:lpwstr>
  </property>
  <property fmtid="{D5CDD505-2E9C-101B-9397-08002B2CF9AE}" pid="4" name="KSOTemplateDocerSaveRecord">
    <vt:lpwstr>eyJoZGlkIjoiOWQ0YWI2NGY4YTdlODYyMzc3ZDI4NDhhMzVhNjBlNjIiLCJ1c2VySWQiOiIzMTM4MTI4NjIifQ==</vt:lpwstr>
  </property>
</Properties>
</file>