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6EF243">
      <w:pPr>
        <w:pStyle w:val="2"/>
        <w:widowControl/>
        <w:spacing w:beforeAutospacing="0" w:afterAutospacing="0" w:line="360" w:lineRule="auto"/>
        <w:ind w:firstLine="643" w:firstLineChars="200"/>
        <w:jc w:val="center"/>
        <w:rPr>
          <w:rFonts w:hint="default" w:asciiTheme="minorEastAsia" w:hAnsiTheme="minorEastAsia" w:eastAsiaTheme="minorEastAsia" w:cstheme="minorEastAsia"/>
          <w:sz w:val="32"/>
          <w:szCs w:val="32"/>
        </w:rPr>
      </w:pPr>
      <w:r>
        <w:rPr>
          <w:rFonts w:asciiTheme="minorEastAsia" w:hAnsiTheme="minorEastAsia" w:eastAsiaTheme="minorEastAsia" w:cstheme="minorEastAsia"/>
          <w:sz w:val="32"/>
          <w:szCs w:val="32"/>
        </w:rPr>
        <w:t>肾内科</w:t>
      </w:r>
    </w:p>
    <w:p w14:paraId="3350D692">
      <w:pPr>
        <w:pStyle w:val="3"/>
        <w:widowControl/>
        <w:spacing w:beforeAutospacing="0" w:afterAutospacing="0" w:line="360" w:lineRule="auto"/>
        <w:ind w:firstLine="643" w:firstLineChars="200"/>
        <w:jc w:val="center"/>
        <w:rPr>
          <w:rFonts w:asciiTheme="minorEastAsia" w:hAnsiTheme="minorEastAsia" w:cstheme="minorEastAsia"/>
          <w:sz w:val="32"/>
          <w:szCs w:val="32"/>
        </w:rPr>
      </w:pPr>
      <w:r>
        <w:rPr>
          <w:rStyle w:val="6"/>
          <w:rFonts w:hint="eastAsia" w:asciiTheme="minorEastAsia" w:hAnsiTheme="minorEastAsia" w:cstheme="minorEastAsia"/>
          <w:sz w:val="32"/>
          <w:szCs w:val="32"/>
        </w:rPr>
        <w:t>专业介绍</w:t>
      </w:r>
    </w:p>
    <w:p w14:paraId="15F97B29">
      <w:pPr>
        <w:keepNext w:val="0"/>
        <w:keepLines w:val="0"/>
        <w:pageBreakBefore w:val="0"/>
        <w:widowControl/>
        <w:kinsoku/>
        <w:wordWrap/>
        <w:overflowPunct/>
        <w:topLinePunct w:val="0"/>
        <w:autoSpaceDE/>
        <w:autoSpaceDN/>
        <w:bidi w:val="0"/>
        <w:adjustRightInd/>
        <w:snapToGrid/>
        <w:spacing w:before="180" w:line="360" w:lineRule="auto"/>
        <w:ind w:firstLine="480" w:firstLineChars="200"/>
        <w:jc w:val="left"/>
        <w:textAlignment w:val="auto"/>
        <w:rPr>
          <w:rFonts w:hint="default" w:ascii="Times New Roman" w:hAnsi="Times New Roman" w:eastAsia="宋体" w:cs="Times New Roman"/>
        </w:rPr>
      </w:pPr>
      <w:r>
        <w:rPr>
          <w:rFonts w:hint="eastAsia" w:ascii="宋体" w:hAnsi="宋体" w:eastAsia="宋体" w:cs="宋体"/>
          <w:color w:val="auto"/>
          <w:kern w:val="0"/>
          <w:sz w:val="24"/>
          <w:szCs w:val="24"/>
        </w:rPr>
        <w:t>【</w:t>
      </w:r>
      <w:r>
        <w:rPr>
          <w:rFonts w:hint="default" w:ascii="Times New Roman" w:hAnsi="Times New Roman" w:eastAsia="宋体" w:cs="Times New Roman"/>
          <w:color w:val="auto"/>
          <w:kern w:val="0"/>
          <w:sz w:val="24"/>
          <w:szCs w:val="24"/>
        </w:rPr>
        <w:t>科室概况】</w:t>
      </w:r>
      <w:bookmarkStart w:id="0" w:name="_GoBack"/>
      <w:bookmarkEnd w:id="0"/>
    </w:p>
    <w:p w14:paraId="47FE7B17">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肾内科专业是湛江中心人民医院省级药物临床试验机构专业之一，设在湛江中心人民医院肾内科。湛江中心人民医院肾内科包括血透室于1989成立，逐5扩建，2000年作为独立科室建制，于2017年新院搬迁。肾内科病房定编床位49张，开放床位53张，血液净化中心目前开放血透床72张，2台CRRT</w:t>
      </w:r>
      <w:r>
        <w:rPr>
          <w:rFonts w:hint="eastAsia" w:ascii="Times New Roman" w:hAnsi="Times New Roman" w:eastAsia="宋体" w:cs="Times New Roman"/>
          <w:lang w:eastAsia="zh-CN"/>
        </w:rPr>
        <w:t>。</w:t>
      </w:r>
      <w:r>
        <w:rPr>
          <w:rFonts w:hint="default" w:ascii="Times New Roman" w:hAnsi="Times New Roman" w:eastAsia="宋体" w:cs="Times New Roman"/>
        </w:rPr>
        <w:t>科室承担临床、科研、教学、临床等工作，取得优秀成绩，2019-2020年度及2020-2021年度均被医院评为优秀教学带教科室。2023年血透4.42万人次、肾内年门诊20198 人次，肾内年出院2153人次、手术360人次。肾内科设备先进，拥有CRRT机3台、普通血透机54台、双泵血滤机18台，血透水处理系统2套等先进设备，开展成人及小儿CRRT、血透（包括血液透析滤过、血透串联灌流、血液滤过、缓慢超滤、血液透析、单膜及双膜血浆置换）、腹透技术、自体及人工血管内瘘形成术。</w:t>
      </w:r>
    </w:p>
    <w:p w14:paraId="475DB9C6">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eastAsia" w:ascii="Times New Roman" w:hAnsi="Times New Roman" w:eastAsia="宋体" w:cs="Times New Roman"/>
          <w:lang w:eastAsia="zh-CN"/>
        </w:rPr>
      </w:pPr>
      <w:r>
        <w:rPr>
          <w:rFonts w:hint="default" w:ascii="Times New Roman" w:hAnsi="Times New Roman" w:eastAsia="宋体" w:cs="Times New Roman"/>
        </w:rPr>
        <w:t>肾内科分四个亚专科发展：血透技术（负责人苏华燕、黄雷招-血管通路）、腹透（负责人李华友）、肾小球疾病（负责人黄少珍）、其他代谢性疾病等（黄雷招）。科主任曾蕾统筹肾内科全科兼血透室、副主任罗远标统筹肾内病区</w:t>
      </w:r>
      <w:r>
        <w:rPr>
          <w:rFonts w:hint="eastAsia" w:ascii="Times New Roman" w:hAnsi="Times New Roman" w:eastAsia="宋体" w:cs="Times New Roman"/>
          <w:lang w:eastAsia="zh-CN"/>
        </w:rPr>
        <w:t>。</w:t>
      </w:r>
    </w:p>
    <w:p w14:paraId="4142C271">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肾内科亚专科主要建成：粤西区域血透血管通路的专病中心：形成血透血管通路建立技术全面、先进的品牌。</w:t>
      </w:r>
    </w:p>
    <w:p w14:paraId="4B10F3CE">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eastAsia" w:ascii="Times New Roman" w:hAnsi="Times New Roman" w:eastAsia="宋体" w:cs="Times New Roman"/>
          <w:lang w:eastAsia="zh-CN"/>
        </w:rPr>
      </w:pPr>
      <w:r>
        <w:rPr>
          <w:rFonts w:hint="default" w:ascii="Times New Roman" w:hAnsi="Times New Roman" w:eastAsia="宋体" w:cs="Times New Roman"/>
        </w:rPr>
        <w:t>特殊血液净化技术品牌建设：开展全面血透技术、CRRT、免疫吸附、双膜血浆置换等，提高急危重症肾脏病抢救水平，形成粤西血透技术领先品牌</w:t>
      </w:r>
      <w:r>
        <w:rPr>
          <w:rFonts w:hint="eastAsia" w:ascii="Times New Roman" w:hAnsi="Times New Roman" w:eastAsia="宋体" w:cs="Times New Roman"/>
          <w:lang w:eastAsia="zh-CN"/>
        </w:rPr>
        <w:t>。</w:t>
      </w:r>
    </w:p>
    <w:p w14:paraId="3102A450">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医疗质量规范化管理，提升肾脏病疑难危重症诊治能力：临床疑难危重症救治水平不断提升：在高水平医院建设的18个病种中，开展达17/18=94.44%</w:t>
      </w:r>
      <w:r>
        <w:rPr>
          <w:rFonts w:hint="eastAsia" w:ascii="Times New Roman" w:hAnsi="Times New Roman" w:eastAsia="宋体" w:cs="Times New Roman"/>
          <w:lang w:eastAsia="zh-CN"/>
        </w:rPr>
        <w:t>，</w:t>
      </w:r>
      <w:r>
        <w:rPr>
          <w:rFonts w:hint="default" w:ascii="Times New Roman" w:hAnsi="Times New Roman" w:eastAsia="宋体" w:cs="Times New Roman"/>
        </w:rPr>
        <w:t xml:space="preserve">急性排斥反应仍未开展，完成率在70%-100%不等。在高水平医院建设的9项技术全开展，完成率在70%-100%不等。               </w:t>
      </w:r>
    </w:p>
    <w:p w14:paraId="284C1987">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p>
    <w:p w14:paraId="049CF400">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肾内科的荣誉：</w:t>
      </w:r>
    </w:p>
    <w:p w14:paraId="6B02AE44">
      <w:pPr>
        <w:pStyle w:val="3"/>
        <w:keepNext w:val="0"/>
        <w:keepLines w:val="0"/>
        <w:pageBreakBefore w:val="0"/>
        <w:widowControl/>
        <w:numPr>
          <w:ilvl w:val="0"/>
          <w:numId w:val="1"/>
        </w:numPr>
        <w:kinsoku/>
        <w:wordWrap/>
        <w:overflowPunct/>
        <w:topLinePunct w:val="0"/>
        <w:autoSpaceDE/>
        <w:autoSpaceDN/>
        <w:bidi w:val="0"/>
        <w:adjustRightInd/>
        <w:snapToGrid/>
        <w:spacing w:before="180" w:beforeAutospacing="0" w:afterAutospacing="0" w:line="360" w:lineRule="auto"/>
        <w:ind w:left="420" w:leftChars="0" w:hanging="420" w:firstLineChars="0"/>
        <w:jc w:val="both"/>
        <w:textAlignment w:val="auto"/>
        <w:rPr>
          <w:rFonts w:hint="default" w:ascii="Times New Roman" w:hAnsi="Times New Roman" w:eastAsia="宋体" w:cs="Times New Roman"/>
        </w:rPr>
      </w:pPr>
      <w:r>
        <w:rPr>
          <w:rFonts w:hint="default" w:ascii="Times New Roman" w:hAnsi="Times New Roman" w:eastAsia="宋体" w:cs="Times New Roman"/>
        </w:rPr>
        <w:t>血液净化中心2010年被评为省第一批血液净化培训基地</w:t>
      </w:r>
    </w:p>
    <w:p w14:paraId="7239B8AD">
      <w:pPr>
        <w:pStyle w:val="3"/>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360" w:lineRule="auto"/>
        <w:ind w:left="420" w:leftChars="0" w:hanging="420" w:firstLineChars="0"/>
        <w:jc w:val="both"/>
        <w:textAlignment w:val="auto"/>
        <w:rPr>
          <w:rFonts w:hint="default" w:ascii="Times New Roman" w:hAnsi="Times New Roman" w:eastAsia="宋体" w:cs="Times New Roman"/>
        </w:rPr>
      </w:pPr>
      <w:r>
        <w:rPr>
          <w:rFonts w:hint="default" w:ascii="Times New Roman" w:hAnsi="Times New Roman" w:eastAsia="宋体" w:cs="Times New Roman"/>
        </w:rPr>
        <w:t>2022年肾内科获得湛江市十四.五临床重点专科建设单位</w:t>
      </w:r>
    </w:p>
    <w:p w14:paraId="544849F4">
      <w:pPr>
        <w:pStyle w:val="3"/>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360" w:lineRule="auto"/>
        <w:ind w:left="420" w:leftChars="0" w:hanging="420" w:firstLineChars="0"/>
        <w:jc w:val="both"/>
        <w:textAlignment w:val="auto"/>
        <w:rPr>
          <w:rFonts w:hint="default" w:ascii="Times New Roman" w:hAnsi="Times New Roman" w:eastAsia="宋体" w:cs="Times New Roman"/>
        </w:rPr>
      </w:pPr>
      <w:r>
        <w:rPr>
          <w:rFonts w:hint="default" w:ascii="Times New Roman" w:hAnsi="Times New Roman" w:eastAsia="宋体" w:cs="Times New Roman"/>
        </w:rPr>
        <w:t>2021年通过省级药物临床试验备案</w:t>
      </w:r>
    </w:p>
    <w:p w14:paraId="70A9559A">
      <w:pPr>
        <w:pStyle w:val="3"/>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360" w:lineRule="auto"/>
        <w:ind w:left="420" w:leftChars="0" w:hanging="420" w:firstLineChars="0"/>
        <w:jc w:val="both"/>
        <w:textAlignment w:val="auto"/>
        <w:rPr>
          <w:rFonts w:hint="default" w:ascii="Times New Roman" w:hAnsi="Times New Roman" w:eastAsia="宋体" w:cs="Times New Roman"/>
        </w:rPr>
      </w:pPr>
      <w:r>
        <w:rPr>
          <w:rFonts w:hint="default" w:ascii="Times New Roman" w:hAnsi="Times New Roman" w:eastAsia="宋体" w:cs="Times New Roman"/>
        </w:rPr>
        <w:t>三项</w:t>
      </w:r>
      <w:r>
        <w:rPr>
          <w:rFonts w:hint="eastAsia" w:ascii="Times New Roman" w:hAnsi="Times New Roman" w:eastAsia="宋体" w:cs="Times New Roman"/>
          <w:lang w:val="en-US" w:eastAsia="zh-CN"/>
        </w:rPr>
        <w:t>Ⅲ</w:t>
      </w:r>
      <w:r>
        <w:rPr>
          <w:rFonts w:hint="default" w:ascii="Times New Roman" w:hAnsi="Times New Roman" w:eastAsia="宋体" w:cs="Times New Roman"/>
        </w:rPr>
        <w:t>期器械类临床试验：顺利开展并已经结题</w:t>
      </w:r>
    </w:p>
    <w:p w14:paraId="0C06D20D">
      <w:pPr>
        <w:pStyle w:val="3"/>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360" w:lineRule="auto"/>
        <w:ind w:left="420" w:leftChars="0" w:hanging="420" w:firstLineChars="0"/>
        <w:jc w:val="both"/>
        <w:textAlignment w:val="auto"/>
        <w:rPr>
          <w:rFonts w:hint="default" w:ascii="Times New Roman" w:hAnsi="Times New Roman" w:eastAsia="宋体" w:cs="Times New Roman"/>
        </w:rPr>
      </w:pPr>
      <w:r>
        <w:rPr>
          <w:rFonts w:hint="default" w:ascii="Times New Roman" w:hAnsi="Times New Roman" w:eastAsia="宋体" w:cs="Times New Roman"/>
        </w:rPr>
        <w:t>在研2项药物临床试验</w:t>
      </w:r>
    </w:p>
    <w:p w14:paraId="42A829CC">
      <w:pPr>
        <w:pStyle w:val="3"/>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360" w:lineRule="auto"/>
        <w:ind w:left="420" w:leftChars="0" w:hanging="420" w:firstLineChars="0"/>
        <w:jc w:val="both"/>
        <w:textAlignment w:val="auto"/>
        <w:rPr>
          <w:rFonts w:hint="default" w:ascii="Times New Roman" w:hAnsi="Times New Roman" w:eastAsia="宋体" w:cs="Times New Roman"/>
        </w:rPr>
      </w:pPr>
      <w:r>
        <w:rPr>
          <w:rFonts w:hint="default" w:ascii="Times New Roman" w:hAnsi="Times New Roman" w:eastAsia="宋体" w:cs="Times New Roman"/>
        </w:rPr>
        <w:t>2023年参与湛江市质量改进项目品管圈比赛获优秀奖</w:t>
      </w:r>
    </w:p>
    <w:p w14:paraId="7333DDCA">
      <w:pPr>
        <w:pStyle w:val="3"/>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360" w:lineRule="auto"/>
        <w:ind w:left="420" w:leftChars="0" w:hanging="420" w:firstLineChars="0"/>
        <w:jc w:val="both"/>
        <w:textAlignment w:val="auto"/>
        <w:rPr>
          <w:rFonts w:hint="default" w:ascii="Times New Roman" w:hAnsi="Times New Roman" w:eastAsia="宋体" w:cs="Times New Roman"/>
        </w:rPr>
      </w:pPr>
      <w:r>
        <w:rPr>
          <w:rFonts w:hint="default" w:ascii="Times New Roman" w:hAnsi="Times New Roman" w:eastAsia="宋体" w:cs="Times New Roman"/>
        </w:rPr>
        <w:t>2023年参加医院85周年庆典技能比赛、病历质量比赛均获奖</w:t>
      </w:r>
    </w:p>
    <w:p w14:paraId="6BFAD42A">
      <w:pPr>
        <w:pStyle w:val="3"/>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360" w:lineRule="auto"/>
        <w:ind w:left="420" w:leftChars="0" w:hanging="420" w:firstLineChars="0"/>
        <w:jc w:val="both"/>
        <w:textAlignment w:val="auto"/>
        <w:rPr>
          <w:rFonts w:hint="default" w:ascii="Times New Roman" w:hAnsi="Times New Roman" w:eastAsia="宋体" w:cs="Times New Roman"/>
        </w:rPr>
      </w:pPr>
      <w:r>
        <w:rPr>
          <w:rFonts w:hint="default" w:ascii="Times New Roman" w:hAnsi="Times New Roman" w:eastAsia="宋体" w:cs="Times New Roman"/>
        </w:rPr>
        <w:t>2023.12.20湛江市卫生健康局组织专家准入血透室更新为73台血透机</w:t>
      </w:r>
    </w:p>
    <w:p w14:paraId="3495E31D">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科室地址：广东省湛江市赤坎区源珠路236号湛江中心人民医院4号楼2楼</w:t>
      </w:r>
    </w:p>
    <w:p w14:paraId="7536A789">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专业人员数：60余人</w:t>
      </w:r>
    </w:p>
    <w:p w14:paraId="4CC62CB7">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病床数：54</w:t>
      </w:r>
    </w:p>
    <w:p w14:paraId="69AE46F6">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b w:val="0"/>
          <w:bCs w:val="0"/>
        </w:rPr>
      </w:pPr>
      <w:r>
        <w:rPr>
          <w:rFonts w:hint="default" w:ascii="Times New Roman" w:hAnsi="Times New Roman" w:eastAsia="宋体" w:cs="Times New Roman"/>
          <w:b w:val="0"/>
          <w:bCs w:val="0"/>
        </w:rPr>
        <w:t>年门诊量：21239</w:t>
      </w:r>
    </w:p>
    <w:p w14:paraId="5DE54D71">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rPr>
        <w:t xml:space="preserve">联系电话（座机）：0759-3157452  </w:t>
      </w:r>
    </w:p>
    <w:p w14:paraId="13E3C631">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rPr>
      </w:pPr>
      <w:r>
        <w:rPr>
          <w:rFonts w:hint="default" w:ascii="Times New Roman" w:hAnsi="Times New Roman" w:eastAsia="宋体" w:cs="Times New Roman"/>
          <w:color w:val="auto"/>
          <w:kern w:val="0"/>
          <w:sz w:val="24"/>
          <w:szCs w:val="24"/>
        </w:rPr>
        <w:t>【技术团队】</w:t>
      </w:r>
    </w:p>
    <w:p w14:paraId="498E9E49">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eastAsia" w:ascii="Times New Roman" w:hAnsi="Times New Roman" w:eastAsia="宋体" w:cs="Times New Roman"/>
          <w:lang w:eastAsia="zh-CN"/>
        </w:rPr>
      </w:pPr>
      <w:r>
        <w:rPr>
          <w:rFonts w:hint="default" w:ascii="Times New Roman" w:hAnsi="Times New Roman" w:eastAsia="宋体" w:cs="Times New Roman"/>
        </w:rPr>
        <w:t>科室人员力量雄厚，拥有正高职称医生3人，副高职称医生5人，研究生学历医生4人，主治医师5人</w:t>
      </w:r>
      <w:r>
        <w:rPr>
          <w:rFonts w:hint="eastAsia" w:ascii="Times New Roman" w:hAnsi="Times New Roman" w:eastAsia="宋体" w:cs="Times New Roman"/>
          <w:lang w:eastAsia="zh-CN"/>
        </w:rPr>
        <w:t>。</w:t>
      </w:r>
    </w:p>
    <w:p w14:paraId="6995585F">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cs="Times New Roman"/>
          <w:color w:val="auto"/>
          <w:kern w:val="0"/>
          <w:sz w:val="24"/>
          <w:szCs w:val="24"/>
          <w:lang w:val="en-US" w:eastAsia="zh-CN"/>
        </w:rPr>
        <w:t>常见病种</w:t>
      </w:r>
      <w:r>
        <w:rPr>
          <w:rFonts w:hint="default" w:ascii="Times New Roman" w:hAnsi="Times New Roman" w:eastAsia="宋体" w:cs="Times New Roman"/>
          <w:color w:val="auto"/>
          <w:kern w:val="0"/>
          <w:sz w:val="24"/>
          <w:szCs w:val="24"/>
        </w:rPr>
        <w:t>】</w:t>
      </w:r>
    </w:p>
    <w:p w14:paraId="4805151B">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eastAsia" w:ascii="Times New Roman" w:hAnsi="Times New Roman" w:eastAsia="宋体" w:cs="Times New Roman"/>
          <w:b w:val="0"/>
          <w:bCs w:val="0"/>
          <w:lang w:eastAsia="zh-CN"/>
        </w:rPr>
      </w:pPr>
      <w:r>
        <w:rPr>
          <w:rFonts w:hint="default" w:ascii="Times New Roman" w:hAnsi="Times New Roman" w:eastAsia="宋体" w:cs="Times New Roman"/>
          <w:b w:val="0"/>
          <w:bCs w:val="0"/>
        </w:rPr>
        <w:t>糖尿病肾病：</w:t>
      </w:r>
      <w:r>
        <w:rPr>
          <w:rFonts w:hint="default" w:ascii="Times New Roman" w:hAnsi="Times New Roman" w:eastAsia="宋体" w:cs="Times New Roman"/>
          <w:spacing w:val="-1"/>
          <w:kern w:val="2"/>
          <w:sz w:val="24"/>
          <w:szCs w:val="24"/>
        </w:rPr>
        <w:t>年门诊量约</w:t>
      </w:r>
      <w:r>
        <w:rPr>
          <w:rFonts w:hint="eastAsia" w:ascii="Times New Roman" w:hAnsi="Times New Roman" w:eastAsia="宋体" w:cs="Times New Roman"/>
          <w:b w:val="0"/>
          <w:bCs w:val="0"/>
          <w:lang w:val="en-US" w:eastAsia="zh-CN"/>
        </w:rPr>
        <w:t>900</w:t>
      </w:r>
      <w:r>
        <w:rPr>
          <w:rFonts w:hint="default" w:ascii="Times New Roman" w:hAnsi="Times New Roman" w:eastAsia="宋体" w:cs="Times New Roman"/>
          <w:b w:val="0"/>
          <w:bCs w:val="0"/>
        </w:rPr>
        <w:t>人次</w:t>
      </w:r>
      <w:r>
        <w:rPr>
          <w:rFonts w:hint="eastAsia" w:ascii="Times New Roman" w:hAnsi="Times New Roman" w:eastAsia="宋体" w:cs="Times New Roman"/>
          <w:b w:val="0"/>
          <w:bCs w:val="0"/>
          <w:lang w:eastAsia="zh-CN"/>
        </w:rPr>
        <w:t>；</w:t>
      </w:r>
    </w:p>
    <w:p w14:paraId="6BC22470">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imes New Roman" w:hAnsi="Times New Roman" w:eastAsia="宋体" w:cs="Times New Roman"/>
          <w:b w:val="0"/>
          <w:bCs w:val="0"/>
          <w:lang w:eastAsia="zh-CN"/>
        </w:rPr>
      </w:pPr>
      <w:r>
        <w:rPr>
          <w:rFonts w:hint="default" w:ascii="Times New Roman" w:hAnsi="Times New Roman" w:eastAsia="宋体" w:cs="Times New Roman"/>
          <w:b w:val="0"/>
          <w:bCs w:val="0"/>
        </w:rPr>
        <w:t>IgA肾病</w:t>
      </w:r>
      <w:r>
        <w:rPr>
          <w:rFonts w:hint="eastAsia" w:ascii="Times New Roman" w:hAnsi="Times New Roman" w:eastAsia="宋体" w:cs="Times New Roman"/>
          <w:b w:val="0"/>
          <w:bCs w:val="0"/>
          <w:lang w:eastAsia="zh-CN"/>
        </w:rPr>
        <w:t>：</w:t>
      </w:r>
      <w:r>
        <w:rPr>
          <w:rFonts w:hint="eastAsia" w:ascii="Times New Roman" w:hAnsi="Times New Roman" w:eastAsia="宋体" w:cs="Times New Roman"/>
          <w:b w:val="0"/>
          <w:bCs w:val="0"/>
          <w:lang w:val="en-US" w:eastAsia="zh-CN"/>
        </w:rPr>
        <w:t>年门诊量约1500</w:t>
      </w:r>
      <w:r>
        <w:rPr>
          <w:rFonts w:hint="default" w:ascii="Times New Roman" w:hAnsi="Times New Roman" w:eastAsia="宋体" w:cs="Times New Roman"/>
          <w:b w:val="0"/>
          <w:bCs w:val="0"/>
        </w:rPr>
        <w:t>人次</w:t>
      </w:r>
      <w:r>
        <w:rPr>
          <w:rFonts w:hint="eastAsia" w:ascii="Times New Roman" w:hAnsi="Times New Roman" w:eastAsia="宋体" w:cs="Times New Roman"/>
          <w:b w:val="0"/>
          <w:bCs w:val="0"/>
          <w:lang w:eastAsia="zh-CN"/>
        </w:rPr>
        <w:t>；</w:t>
      </w:r>
    </w:p>
    <w:p w14:paraId="000BCBCA">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imes New Roman" w:hAnsi="Times New Roman" w:eastAsia="宋体" w:cs="Times New Roman"/>
          <w:b w:val="0"/>
          <w:bCs w:val="0"/>
          <w:lang w:eastAsia="zh-CN"/>
        </w:rPr>
      </w:pPr>
      <w:r>
        <w:rPr>
          <w:rFonts w:hint="default" w:ascii="Times New Roman" w:hAnsi="Times New Roman" w:eastAsia="宋体" w:cs="Times New Roman"/>
          <w:b w:val="0"/>
          <w:bCs w:val="0"/>
        </w:rPr>
        <w:t>狼疮性肾炎</w:t>
      </w:r>
      <w:r>
        <w:rPr>
          <w:rFonts w:hint="eastAsia" w:ascii="Times New Roman" w:hAnsi="Times New Roman" w:eastAsia="宋体" w:cs="Times New Roman"/>
          <w:b w:val="0"/>
          <w:bCs w:val="0"/>
          <w:lang w:eastAsia="zh-CN"/>
        </w:rPr>
        <w:t>：</w:t>
      </w:r>
      <w:r>
        <w:rPr>
          <w:rFonts w:hint="eastAsia" w:ascii="Times New Roman" w:hAnsi="Times New Roman" w:eastAsia="宋体" w:cs="Times New Roman"/>
          <w:b w:val="0"/>
          <w:bCs w:val="0"/>
          <w:lang w:val="en-US" w:eastAsia="zh-CN"/>
        </w:rPr>
        <w:t>年门诊量约550</w:t>
      </w:r>
      <w:r>
        <w:rPr>
          <w:rFonts w:hint="default" w:ascii="Times New Roman" w:hAnsi="Times New Roman" w:eastAsia="宋体" w:cs="Times New Roman"/>
          <w:b w:val="0"/>
          <w:bCs w:val="0"/>
        </w:rPr>
        <w:t>人次</w:t>
      </w:r>
      <w:r>
        <w:rPr>
          <w:rFonts w:hint="eastAsia" w:ascii="Times New Roman" w:hAnsi="Times New Roman" w:eastAsia="宋体" w:cs="Times New Roman"/>
          <w:b w:val="0"/>
          <w:bCs w:val="0"/>
          <w:lang w:eastAsia="zh-CN"/>
        </w:rPr>
        <w:t>；</w:t>
      </w:r>
    </w:p>
    <w:p w14:paraId="7A28627B">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imes New Roman" w:hAnsi="Times New Roman" w:eastAsia="宋体" w:cs="Times New Roman"/>
          <w:b w:val="0"/>
          <w:bCs w:val="0"/>
          <w:lang w:eastAsia="zh-CN"/>
        </w:rPr>
      </w:pPr>
      <w:r>
        <w:rPr>
          <w:rFonts w:hint="default" w:ascii="Times New Roman" w:hAnsi="Times New Roman" w:eastAsia="宋体" w:cs="Times New Roman"/>
          <w:b w:val="0"/>
          <w:bCs w:val="0"/>
        </w:rPr>
        <w:t>慢性肾脏病</w:t>
      </w:r>
      <w:r>
        <w:rPr>
          <w:rFonts w:hint="eastAsia" w:ascii="Times New Roman" w:hAnsi="Times New Roman" w:eastAsia="宋体" w:cs="Times New Roman"/>
          <w:b w:val="0"/>
          <w:bCs w:val="0"/>
          <w:lang w:eastAsia="zh-CN"/>
        </w:rPr>
        <w:t>：</w:t>
      </w:r>
      <w:r>
        <w:rPr>
          <w:rFonts w:hint="eastAsia" w:ascii="Times New Roman" w:hAnsi="Times New Roman" w:eastAsia="宋体" w:cs="Times New Roman"/>
          <w:b w:val="0"/>
          <w:bCs w:val="0"/>
          <w:lang w:val="en-US" w:eastAsia="zh-CN"/>
        </w:rPr>
        <w:t>年门诊量约</w:t>
      </w:r>
      <w:r>
        <w:rPr>
          <w:rFonts w:hint="default" w:ascii="Times New Roman" w:hAnsi="Times New Roman" w:eastAsia="宋体" w:cs="Times New Roman"/>
          <w:b w:val="0"/>
          <w:bCs w:val="0"/>
        </w:rPr>
        <w:t>9764人次</w:t>
      </w:r>
      <w:r>
        <w:rPr>
          <w:rFonts w:hint="eastAsia" w:ascii="Times New Roman" w:hAnsi="Times New Roman" w:eastAsia="宋体" w:cs="Times New Roman"/>
          <w:b w:val="0"/>
          <w:bCs w:val="0"/>
          <w:lang w:eastAsia="zh-CN"/>
        </w:rPr>
        <w:t>；</w:t>
      </w:r>
    </w:p>
    <w:p w14:paraId="745C5020">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imes New Roman" w:hAnsi="Times New Roman" w:eastAsia="宋体" w:cs="Times New Roman"/>
          <w:b w:val="0"/>
          <w:bCs w:val="0"/>
          <w:lang w:eastAsia="zh-CN"/>
        </w:rPr>
      </w:pPr>
      <w:r>
        <w:rPr>
          <w:rFonts w:hint="default" w:ascii="Times New Roman" w:hAnsi="Times New Roman" w:eastAsia="宋体" w:cs="Times New Roman"/>
          <w:b w:val="0"/>
          <w:bCs w:val="0"/>
        </w:rPr>
        <w:t>微小病变</w:t>
      </w:r>
      <w:r>
        <w:rPr>
          <w:rFonts w:hint="eastAsia" w:ascii="Times New Roman" w:hAnsi="Times New Roman" w:eastAsia="宋体" w:cs="Times New Roman"/>
          <w:b w:val="0"/>
          <w:bCs w:val="0"/>
          <w:lang w:eastAsia="zh-CN"/>
        </w:rPr>
        <w:t>：</w:t>
      </w:r>
      <w:r>
        <w:rPr>
          <w:rFonts w:hint="eastAsia" w:ascii="Times New Roman" w:hAnsi="Times New Roman" w:eastAsia="宋体" w:cs="Times New Roman"/>
          <w:b w:val="0"/>
          <w:bCs w:val="0"/>
          <w:lang w:val="en-US" w:eastAsia="zh-CN"/>
        </w:rPr>
        <w:t>年门诊量约900</w:t>
      </w:r>
      <w:r>
        <w:rPr>
          <w:rFonts w:hint="default" w:ascii="Times New Roman" w:hAnsi="Times New Roman" w:eastAsia="宋体" w:cs="Times New Roman"/>
          <w:b w:val="0"/>
          <w:bCs w:val="0"/>
        </w:rPr>
        <w:t>人次</w:t>
      </w:r>
      <w:r>
        <w:rPr>
          <w:rFonts w:hint="eastAsia" w:ascii="Times New Roman" w:hAnsi="Times New Roman" w:eastAsia="宋体" w:cs="Times New Roman"/>
          <w:b w:val="0"/>
          <w:bCs w:val="0"/>
          <w:lang w:eastAsia="zh-CN"/>
        </w:rPr>
        <w:t>；</w:t>
      </w:r>
    </w:p>
    <w:p w14:paraId="523500F2">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imes New Roman" w:hAnsi="Times New Roman" w:eastAsia="宋体" w:cs="Times New Roman"/>
          <w:b w:val="0"/>
          <w:bCs w:val="0"/>
          <w:lang w:eastAsia="zh-CN"/>
        </w:rPr>
      </w:pPr>
      <w:r>
        <w:rPr>
          <w:rFonts w:hint="default" w:ascii="Times New Roman" w:hAnsi="Times New Roman" w:eastAsia="宋体" w:cs="Times New Roman"/>
          <w:b w:val="0"/>
          <w:bCs w:val="0"/>
        </w:rPr>
        <w:t>高钾血症</w:t>
      </w:r>
      <w:r>
        <w:rPr>
          <w:rFonts w:hint="eastAsia" w:ascii="Times New Roman" w:hAnsi="Times New Roman" w:eastAsia="宋体" w:cs="Times New Roman"/>
          <w:b w:val="0"/>
          <w:bCs w:val="0"/>
          <w:lang w:eastAsia="zh-CN"/>
        </w:rPr>
        <w:t>：</w:t>
      </w:r>
      <w:r>
        <w:rPr>
          <w:rFonts w:hint="eastAsia" w:ascii="Times New Roman" w:hAnsi="Times New Roman" w:eastAsia="宋体" w:cs="Times New Roman"/>
          <w:b w:val="0"/>
          <w:bCs w:val="0"/>
          <w:lang w:val="en-US" w:eastAsia="zh-CN"/>
        </w:rPr>
        <w:t>年门诊量约</w:t>
      </w:r>
      <w:r>
        <w:rPr>
          <w:rFonts w:hint="default" w:ascii="Times New Roman" w:hAnsi="Times New Roman" w:eastAsia="宋体" w:cs="Times New Roman"/>
          <w:b w:val="0"/>
          <w:bCs w:val="0"/>
        </w:rPr>
        <w:t>15</w:t>
      </w:r>
      <w:r>
        <w:rPr>
          <w:rFonts w:hint="eastAsia" w:ascii="Times New Roman" w:hAnsi="Times New Roman" w:eastAsia="宋体" w:cs="Times New Roman"/>
          <w:b w:val="0"/>
          <w:bCs w:val="0"/>
          <w:lang w:val="en-US" w:eastAsia="zh-CN"/>
        </w:rPr>
        <w:t>0</w:t>
      </w:r>
      <w:r>
        <w:rPr>
          <w:rFonts w:hint="default" w:ascii="Times New Roman" w:hAnsi="Times New Roman" w:eastAsia="宋体" w:cs="Times New Roman"/>
          <w:b w:val="0"/>
          <w:bCs w:val="0"/>
        </w:rPr>
        <w:t>人次</w:t>
      </w:r>
      <w:r>
        <w:rPr>
          <w:rFonts w:hint="eastAsia" w:ascii="Times New Roman" w:hAnsi="Times New Roman" w:eastAsia="宋体" w:cs="Times New Roman"/>
          <w:b w:val="0"/>
          <w:bCs w:val="0"/>
          <w:lang w:eastAsia="zh-CN"/>
        </w:rPr>
        <w:t>；</w:t>
      </w:r>
    </w:p>
    <w:p w14:paraId="74B29AC8">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eastAsia" w:ascii="Times New Roman" w:hAnsi="Times New Roman" w:eastAsia="宋体" w:cs="Times New Roman"/>
          <w:b w:val="0"/>
          <w:bCs w:val="0"/>
          <w:lang w:eastAsia="zh-CN"/>
        </w:rPr>
      </w:pPr>
      <w:r>
        <w:rPr>
          <w:rFonts w:hint="default" w:ascii="Times New Roman" w:hAnsi="Times New Roman" w:eastAsia="宋体" w:cs="Times New Roman"/>
          <w:b w:val="0"/>
          <w:bCs w:val="0"/>
        </w:rPr>
        <w:t>膜性肾病</w:t>
      </w:r>
      <w:r>
        <w:rPr>
          <w:rFonts w:hint="eastAsia" w:ascii="Times New Roman" w:hAnsi="Times New Roman" w:eastAsia="宋体" w:cs="Times New Roman"/>
          <w:b w:val="0"/>
          <w:bCs w:val="0"/>
          <w:lang w:eastAsia="zh-CN"/>
        </w:rPr>
        <w:t>：</w:t>
      </w:r>
      <w:r>
        <w:rPr>
          <w:rFonts w:hint="eastAsia" w:ascii="Times New Roman" w:hAnsi="Times New Roman" w:eastAsia="宋体" w:cs="Times New Roman"/>
          <w:b w:val="0"/>
          <w:bCs w:val="0"/>
          <w:lang w:val="en-US" w:eastAsia="zh-CN"/>
        </w:rPr>
        <w:t>年门诊量约</w:t>
      </w:r>
      <w:r>
        <w:rPr>
          <w:rFonts w:hint="default" w:ascii="Times New Roman" w:hAnsi="Times New Roman" w:eastAsia="宋体" w:cs="Times New Roman"/>
          <w:b w:val="0"/>
          <w:bCs w:val="0"/>
        </w:rPr>
        <w:t>80人次</w:t>
      </w:r>
      <w:r>
        <w:rPr>
          <w:rFonts w:hint="eastAsia" w:ascii="Times New Roman" w:hAnsi="Times New Roman" w:eastAsia="宋体" w:cs="Times New Roman"/>
          <w:b w:val="0"/>
          <w:bCs w:val="0"/>
          <w:lang w:eastAsia="zh-CN"/>
        </w:rPr>
        <w:t>。</w:t>
      </w:r>
    </w:p>
    <w:p w14:paraId="0E8B1192">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eastAsia" w:ascii="Times New Roman" w:hAnsi="Times New Roman" w:eastAsia="宋体" w:cs="Times New Roman"/>
          <w:lang w:eastAsia="zh-CN"/>
        </w:rPr>
      </w:pPr>
    </w:p>
    <w:p w14:paraId="2EDA0F05">
      <w:pPr>
        <w:pStyle w:val="3"/>
        <w:keepNext w:val="0"/>
        <w:keepLines w:val="0"/>
        <w:pageBreakBefore w:val="0"/>
        <w:widowControl/>
        <w:kinsoku/>
        <w:wordWrap/>
        <w:overflowPunct/>
        <w:topLinePunct w:val="0"/>
        <w:autoSpaceDE/>
        <w:autoSpaceDN/>
        <w:bidi w:val="0"/>
        <w:adjustRightInd/>
        <w:snapToGrid/>
        <w:spacing w:before="180" w:beforeAutospacing="0" w:afterAutospacing="0"/>
        <w:jc w:val="both"/>
        <w:textAlignment w:val="auto"/>
        <w:rPr>
          <w:rFonts w:hint="default" w:ascii="Times New Roman" w:hAnsi="Times New Roman" w:eastAsia="宋体" w:cs="Times New Roman"/>
        </w:rPr>
      </w:pPr>
    </w:p>
    <w:p w14:paraId="69182297">
      <w:pPr>
        <w:keepNext w:val="0"/>
        <w:keepLines w:val="0"/>
        <w:pageBreakBefore w:val="0"/>
        <w:widowControl w:val="0"/>
        <w:kinsoku/>
        <w:wordWrap/>
        <w:overflowPunct/>
        <w:topLinePunct w:val="0"/>
        <w:autoSpaceDE/>
        <w:autoSpaceDN/>
        <w:bidi w:val="0"/>
        <w:adjustRightInd/>
        <w:snapToGrid/>
        <w:spacing w:before="180" w:beforeAutospacing="0" w:afterAutospacing="0" w:line="360" w:lineRule="auto"/>
        <w:ind w:firstLine="476" w:firstLineChars="200"/>
        <w:textAlignment w:val="auto"/>
        <w:rPr>
          <w:rFonts w:hint="default" w:ascii="Times New Roman" w:hAnsi="Times New Roman" w:cs="Times New Roman"/>
          <w:color w:val="FF0000"/>
          <w:kern w:val="0"/>
          <w:sz w:val="24"/>
          <w:szCs w:val="24"/>
        </w:rPr>
      </w:pPr>
      <w:r>
        <w:rPr>
          <w:rFonts w:hint="default" w:ascii="Times New Roman" w:hAnsi="Times New Roman" w:eastAsia="宋体" w:cs="Times New Roman"/>
          <w:spacing w:val="-1"/>
          <w:kern w:val="2"/>
          <w:sz w:val="24"/>
          <w:szCs w:val="24"/>
          <w:lang w:eastAsia="zh-CN"/>
        </w:rPr>
        <w:t>【</w:t>
      </w:r>
      <w:r>
        <w:rPr>
          <w:rFonts w:hint="default" w:ascii="Times New Roman" w:hAnsi="Times New Roman" w:eastAsia="宋体" w:cs="Times New Roman"/>
          <w:spacing w:val="-1"/>
          <w:kern w:val="2"/>
          <w:sz w:val="24"/>
          <w:szCs w:val="24"/>
          <w:lang w:val="en-US" w:eastAsia="zh-CN"/>
        </w:rPr>
        <w:t>主要研究者信息</w:t>
      </w:r>
      <w:r>
        <w:rPr>
          <w:rFonts w:hint="default" w:ascii="Times New Roman" w:hAnsi="Times New Roman" w:eastAsia="宋体" w:cs="Times New Roman"/>
          <w:spacing w:val="-1"/>
          <w:kern w:val="2"/>
          <w:sz w:val="24"/>
          <w:szCs w:val="24"/>
          <w:lang w:eastAsia="zh-CN"/>
        </w:rPr>
        <w:t>】</w:t>
      </w:r>
      <w:r>
        <w:rPr>
          <w:rFonts w:hint="default" w:ascii="Times New Roman" w:hAnsi="Times New Roman" w:cs="Times New Roman"/>
          <w:color w:val="FF0000"/>
          <w:kern w:val="0"/>
          <w:sz w:val="24"/>
          <w:szCs w:val="24"/>
        </w:rPr>
        <w:t xml:space="preserve"> </w:t>
      </w:r>
    </w:p>
    <w:p w14:paraId="587603C6">
      <w:pPr>
        <w:pStyle w:val="3"/>
        <w:keepNext w:val="0"/>
        <w:keepLines w:val="0"/>
        <w:pageBreakBefore w:val="0"/>
        <w:widowControl/>
        <w:kinsoku/>
        <w:wordWrap/>
        <w:overflowPunct/>
        <w:topLinePunct w:val="0"/>
        <w:autoSpaceDE/>
        <w:autoSpaceDN/>
        <w:bidi w:val="0"/>
        <w:adjustRightInd/>
        <w:snapToGrid/>
        <w:spacing w:before="180" w:beforeAutospacing="0" w:afterAutospacing="0"/>
        <w:jc w:val="center"/>
        <w:textAlignment w:val="auto"/>
        <w:rPr>
          <w:rFonts w:hint="default" w:ascii="Times New Roman" w:hAnsi="Times New Roman" w:eastAsia="宋体" w:cs="Times New Roman"/>
        </w:rPr>
      </w:pPr>
      <w:r>
        <w:rPr>
          <w:rFonts w:hint="default" w:ascii="Times New Roman" w:hAnsi="Times New Roman" w:eastAsia="宋体" w:cs="Times New Roman"/>
        </w:rPr>
        <w:drawing>
          <wp:inline distT="0" distB="0" distL="0" distR="0">
            <wp:extent cx="2087880" cy="2700020"/>
            <wp:effectExtent l="0" t="0" r="0" b="508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pic:cNvPicPr>
                  </pic:nvPicPr>
                  <pic:blipFill>
                    <a:blip r:embed="rId4"/>
                    <a:stretch>
                      <a:fillRect/>
                    </a:stretch>
                  </pic:blipFill>
                  <pic:spPr>
                    <a:xfrm rot="21600000">
                      <a:off x="0" y="0"/>
                      <a:ext cx="2087880" cy="2700528"/>
                    </a:xfrm>
                    <a:prstGeom prst="rect">
                      <a:avLst/>
                    </a:prstGeom>
                  </pic:spPr>
                </pic:pic>
              </a:graphicData>
            </a:graphic>
          </wp:inline>
        </w:drawing>
      </w:r>
    </w:p>
    <w:p w14:paraId="2F5AABD5">
      <w:pPr>
        <w:pStyle w:val="3"/>
        <w:keepNext w:val="0"/>
        <w:keepLines w:val="0"/>
        <w:pageBreakBefore w:val="0"/>
        <w:widowControl/>
        <w:kinsoku/>
        <w:wordWrap/>
        <w:overflowPunct/>
        <w:topLinePunct w:val="0"/>
        <w:autoSpaceDE/>
        <w:autoSpaceDN/>
        <w:bidi w:val="0"/>
        <w:adjustRightInd/>
        <w:snapToGrid/>
        <w:spacing w:before="180" w:beforeAutospacing="0" w:afterAutospacing="0"/>
        <w:jc w:val="center"/>
        <w:textAlignment w:val="auto"/>
        <w:rPr>
          <w:rFonts w:hint="default" w:ascii="Times New Roman" w:hAnsi="Times New Roman" w:eastAsia="宋体" w:cs="Times New Roman"/>
          <w:b w:val="0"/>
          <w:bCs/>
        </w:rPr>
      </w:pPr>
      <w:r>
        <w:rPr>
          <w:rStyle w:val="6"/>
          <w:rFonts w:hint="default" w:ascii="Times New Roman" w:hAnsi="Times New Roman" w:eastAsia="宋体" w:cs="Times New Roman"/>
          <w:b w:val="0"/>
          <w:bCs/>
        </w:rPr>
        <w:t>姓名：曾蕾</w:t>
      </w:r>
      <w:r>
        <w:rPr>
          <w:rStyle w:val="6"/>
          <w:rFonts w:hint="eastAsia" w:ascii="Times New Roman" w:hAnsi="Times New Roman" w:eastAsia="宋体" w:cs="Times New Roman"/>
          <w:b w:val="0"/>
          <w:bCs/>
          <w:lang w:val="en-US" w:eastAsia="zh-CN"/>
        </w:rPr>
        <w:t xml:space="preserve">   </w:t>
      </w:r>
      <w:r>
        <w:rPr>
          <w:rStyle w:val="6"/>
          <w:rFonts w:hint="default" w:ascii="Times New Roman" w:hAnsi="Times New Roman" w:eastAsia="宋体" w:cs="Times New Roman"/>
          <w:b w:val="0"/>
          <w:bCs/>
        </w:rPr>
        <w:t>职务：科室主任</w:t>
      </w:r>
      <w:r>
        <w:rPr>
          <w:rStyle w:val="6"/>
          <w:rFonts w:hint="eastAsia" w:ascii="Times New Roman" w:hAnsi="Times New Roman" w:eastAsia="宋体" w:cs="Times New Roman"/>
          <w:b w:val="0"/>
          <w:bCs/>
          <w:lang w:val="en-US" w:eastAsia="zh-CN"/>
        </w:rPr>
        <w:t xml:space="preserve">   </w:t>
      </w:r>
      <w:r>
        <w:rPr>
          <w:rStyle w:val="6"/>
          <w:rFonts w:hint="default" w:ascii="Times New Roman" w:hAnsi="Times New Roman" w:eastAsia="宋体" w:cs="Times New Roman"/>
          <w:b w:val="0"/>
          <w:bCs/>
        </w:rPr>
        <w:t>职称：主任医师</w:t>
      </w:r>
    </w:p>
    <w:p w14:paraId="47D6EC31">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jc w:val="center"/>
        <w:textAlignment w:val="auto"/>
        <w:rPr>
          <w:rFonts w:hint="default" w:ascii="Times New Roman" w:hAnsi="Times New Roman" w:eastAsia="宋体" w:cs="Times New Roman"/>
          <w:b w:val="0"/>
          <w:bCs/>
        </w:rPr>
      </w:pPr>
      <w:r>
        <w:rPr>
          <w:rStyle w:val="6"/>
          <w:rFonts w:hint="default" w:ascii="Times New Roman" w:hAnsi="Times New Roman" w:eastAsia="宋体" w:cs="Times New Roman"/>
          <w:b w:val="0"/>
          <w:bCs/>
        </w:rPr>
        <w:t>联系电话（座机或手机）：0759-3157452</w:t>
      </w:r>
    </w:p>
    <w:p w14:paraId="6EFE9B76">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b w:val="0"/>
          <w:bCs/>
        </w:rPr>
      </w:pPr>
      <w:r>
        <w:rPr>
          <w:rFonts w:hint="default" w:ascii="Times New Roman" w:hAnsi="Times New Roman" w:eastAsia="宋体" w:cs="Times New Roman"/>
          <w:b w:val="0"/>
          <w:bCs/>
        </w:rPr>
        <w:t>个人简介：曾蕾，主任医师，广东省湛江中心人民医院肾内科科主任，广东省医院协会血液净化管理分会常务委员、广东省医学会肾脏病分会委员、广东省医学会血液净化分会委员，广东省医师肾脏内科分会委员，湛江市医学会肾脏病及血液净化分会副主任委员，2019-2022年岭南名医、湛江市高层次人才。</w:t>
      </w:r>
    </w:p>
    <w:p w14:paraId="1B2FE2DA">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rPr>
      </w:pPr>
      <w:r>
        <w:rPr>
          <w:rFonts w:hint="default" w:ascii="Times New Roman" w:hAnsi="Times New Roman" w:eastAsia="宋体" w:cs="Times New Roman"/>
          <w:b w:val="0"/>
          <w:bCs/>
        </w:rPr>
        <w:t>从事慢性肾脏病临床防治及研究工作31年，擅长复杂疑难肾小球疾病诊治重症急性及慢性肾衰竭诊治、CRRT技术、血液透析各种技术及血管通路的建立、腹膜透析技术及肾移植内科处理；承担广东省卫生厅科研项目一项、湛江市科技局科研项目多项，在国家级及省级杂志发表论文多篇。</w:t>
      </w:r>
    </w:p>
    <w:p w14:paraId="171E90E0">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rPr>
      </w:pPr>
      <w:r>
        <w:rPr>
          <w:rFonts w:hint="default" w:ascii="Times New Roman" w:hAnsi="Times New Roman" w:eastAsia="宋体" w:cs="Times New Roman"/>
        </w:rPr>
        <w:t>主要研究方向（意向承接试验专业方向或病种）：肾脏病专业及血液透析</w:t>
      </w:r>
    </w:p>
    <w:p w14:paraId="01DA6164">
      <w:pPr>
        <w:widowControl/>
        <w:spacing w:beforeAutospacing="1" w:afterAutospacing="1" w:line="360" w:lineRule="auto"/>
        <w:ind w:firstLine="480" w:firstLineChars="200"/>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【参与研究】</w:t>
      </w:r>
    </w:p>
    <w:tbl>
      <w:tblPr>
        <w:tblStyle w:val="4"/>
        <w:tblW w:w="9384" w:type="dxa"/>
        <w:jc w:val="center"/>
        <w:tblCellSpacing w:w="0" w:type="dxa"/>
        <w:tblLayout w:type="fixed"/>
        <w:tblCellMar>
          <w:top w:w="0" w:type="dxa"/>
          <w:left w:w="0" w:type="dxa"/>
          <w:bottom w:w="0" w:type="dxa"/>
          <w:right w:w="0" w:type="dxa"/>
        </w:tblCellMar>
      </w:tblPr>
      <w:tblGrid>
        <w:gridCol w:w="770"/>
        <w:gridCol w:w="7140"/>
        <w:gridCol w:w="1474"/>
      </w:tblGrid>
      <w:tr w14:paraId="3C4548AC">
        <w:tblPrEx>
          <w:tblCellMar>
            <w:top w:w="0" w:type="dxa"/>
            <w:left w:w="0" w:type="dxa"/>
            <w:bottom w:w="0" w:type="dxa"/>
            <w:right w:w="0" w:type="dxa"/>
          </w:tblCellMar>
        </w:tblPrEx>
        <w:trPr>
          <w:trHeight w:val="510" w:hRule="atLeast"/>
          <w:tblCellSpacing w:w="0" w:type="dxa"/>
          <w:jc w:val="center"/>
        </w:trPr>
        <w:tc>
          <w:tcPr>
            <w:tcW w:w="770" w:type="dxa"/>
            <w:tcBorders>
              <w:top w:val="single" w:color="auto" w:sz="6" w:space="0"/>
              <w:left w:val="single" w:color="auto" w:sz="6" w:space="0"/>
              <w:bottom w:val="single" w:color="auto" w:sz="6" w:space="0"/>
              <w:right w:val="single" w:color="auto" w:sz="6" w:space="0"/>
            </w:tcBorders>
            <w:noWrap/>
            <w:tcMar>
              <w:left w:w="105" w:type="dxa"/>
              <w:right w:w="105" w:type="dxa"/>
            </w:tcMar>
            <w:vAlign w:val="center"/>
          </w:tcPr>
          <w:p w14:paraId="0303E29C">
            <w:pPr>
              <w:pStyle w:val="3"/>
              <w:widowControl/>
              <w:spacing w:beforeAutospacing="0" w:afterAutospacing="0" w:line="360" w:lineRule="auto"/>
              <w:jc w:val="center"/>
              <w:rPr>
                <w:rFonts w:hint="default" w:ascii="Times New Roman" w:hAnsi="Times New Roman" w:eastAsia="宋体" w:cs="Times New Roman"/>
                <w:b/>
                <w:bCs/>
              </w:rPr>
            </w:pPr>
            <w:r>
              <w:rPr>
                <w:rFonts w:hint="default" w:ascii="Times New Roman" w:hAnsi="Times New Roman" w:eastAsia="宋体" w:cs="Times New Roman"/>
                <w:b/>
                <w:bCs/>
                <w:color w:val="000000"/>
              </w:rPr>
              <w:t>No.</w:t>
            </w:r>
          </w:p>
        </w:tc>
        <w:tc>
          <w:tcPr>
            <w:tcW w:w="7140" w:type="dxa"/>
            <w:tcBorders>
              <w:top w:val="single" w:color="auto" w:sz="6" w:space="0"/>
              <w:left w:val="nil"/>
              <w:bottom w:val="single" w:color="auto" w:sz="6" w:space="0"/>
              <w:right w:val="single" w:color="auto" w:sz="6" w:space="0"/>
            </w:tcBorders>
            <w:tcMar>
              <w:left w:w="105" w:type="dxa"/>
              <w:right w:w="105" w:type="dxa"/>
            </w:tcMar>
            <w:vAlign w:val="center"/>
          </w:tcPr>
          <w:p w14:paraId="47192874">
            <w:pPr>
              <w:pStyle w:val="3"/>
              <w:widowControl/>
              <w:spacing w:beforeAutospacing="0" w:afterAutospacing="0" w:line="360" w:lineRule="auto"/>
              <w:jc w:val="center"/>
              <w:rPr>
                <w:rFonts w:hint="default" w:ascii="Times New Roman" w:hAnsi="Times New Roman" w:eastAsia="宋体" w:cs="Times New Roman"/>
                <w:b/>
                <w:bCs/>
              </w:rPr>
            </w:pPr>
            <w:r>
              <w:rPr>
                <w:rFonts w:hint="default" w:ascii="Times New Roman" w:hAnsi="Times New Roman" w:eastAsia="宋体" w:cs="Times New Roman"/>
                <w:b/>
                <w:bCs/>
                <w:color w:val="000000"/>
              </w:rPr>
              <w:t>项目名称</w:t>
            </w:r>
          </w:p>
        </w:tc>
        <w:tc>
          <w:tcPr>
            <w:tcW w:w="1474" w:type="dxa"/>
            <w:tcBorders>
              <w:top w:val="single" w:color="auto" w:sz="6" w:space="0"/>
              <w:left w:val="nil"/>
              <w:bottom w:val="single" w:color="auto" w:sz="6" w:space="0"/>
              <w:right w:val="single" w:color="auto" w:sz="6" w:space="0"/>
            </w:tcBorders>
            <w:tcMar>
              <w:left w:w="105" w:type="dxa"/>
              <w:right w:w="105" w:type="dxa"/>
            </w:tcMar>
            <w:vAlign w:val="center"/>
          </w:tcPr>
          <w:p w14:paraId="25D4993B">
            <w:pPr>
              <w:pStyle w:val="3"/>
              <w:widowControl/>
              <w:spacing w:beforeAutospacing="0" w:afterAutospacing="0" w:line="360" w:lineRule="auto"/>
              <w:jc w:val="center"/>
              <w:rPr>
                <w:rFonts w:hint="eastAsia" w:ascii="Times New Roman" w:hAnsi="Times New Roman" w:eastAsia="宋体" w:cs="Times New Roman"/>
                <w:b/>
                <w:bCs/>
                <w:color w:val="000000"/>
                <w:lang w:val="en-US" w:eastAsia="zh-CN"/>
              </w:rPr>
            </w:pPr>
            <w:r>
              <w:rPr>
                <w:rFonts w:hint="eastAsia" w:ascii="Times New Roman" w:hAnsi="Times New Roman" w:eastAsia="宋体" w:cs="Times New Roman"/>
                <w:b/>
                <w:bCs/>
                <w:color w:val="000000"/>
                <w:lang w:val="en-US" w:eastAsia="zh-CN"/>
              </w:rPr>
              <w:t>备注</w:t>
            </w:r>
          </w:p>
        </w:tc>
      </w:tr>
      <w:tr w14:paraId="7BD2E6ED">
        <w:tblPrEx>
          <w:tblCellMar>
            <w:top w:w="0" w:type="dxa"/>
            <w:left w:w="0" w:type="dxa"/>
            <w:bottom w:w="0" w:type="dxa"/>
            <w:right w:w="0" w:type="dxa"/>
          </w:tblCellMar>
        </w:tblPrEx>
        <w:trPr>
          <w:trHeight w:val="510" w:hRule="atLeast"/>
          <w:tblCellSpacing w:w="0" w:type="dxa"/>
          <w:jc w:val="center"/>
        </w:trPr>
        <w:tc>
          <w:tcPr>
            <w:tcW w:w="770" w:type="dxa"/>
            <w:tcBorders>
              <w:top w:val="nil"/>
              <w:left w:val="single" w:color="auto" w:sz="6" w:space="0"/>
              <w:bottom w:val="single" w:color="auto" w:sz="6" w:space="0"/>
              <w:right w:val="single" w:color="auto" w:sz="6" w:space="0"/>
            </w:tcBorders>
            <w:noWrap/>
            <w:tcMar>
              <w:left w:w="105" w:type="dxa"/>
              <w:right w:w="105" w:type="dxa"/>
            </w:tcMar>
            <w:vAlign w:val="center"/>
          </w:tcPr>
          <w:p w14:paraId="2F1E7E06">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color w:val="000000"/>
              </w:rPr>
              <w:t>1</w:t>
            </w:r>
          </w:p>
        </w:tc>
        <w:tc>
          <w:tcPr>
            <w:tcW w:w="7140" w:type="dxa"/>
            <w:tcBorders>
              <w:top w:val="nil"/>
              <w:left w:val="nil"/>
              <w:bottom w:val="single" w:color="auto" w:sz="6" w:space="0"/>
              <w:right w:val="single" w:color="auto" w:sz="6" w:space="0"/>
            </w:tcBorders>
            <w:tcMar>
              <w:left w:w="105" w:type="dxa"/>
              <w:right w:w="105" w:type="dxa"/>
            </w:tcMar>
            <w:vAlign w:val="center"/>
          </w:tcPr>
          <w:p w14:paraId="3FD57B3B">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rPr>
              <w:t>一次性使用高通量血液透析器（H-80）用于慢生肾衰竭患者血液透析的有效性和安全性的随机、开放、阳性平行对照、非劣性、多中心临床试验（JT201911LZ）</w:t>
            </w:r>
          </w:p>
        </w:tc>
        <w:tc>
          <w:tcPr>
            <w:tcW w:w="1474" w:type="dxa"/>
            <w:tcBorders>
              <w:top w:val="nil"/>
              <w:left w:val="nil"/>
              <w:bottom w:val="single" w:color="auto" w:sz="6" w:space="0"/>
              <w:right w:val="single" w:color="auto" w:sz="6" w:space="0"/>
            </w:tcBorders>
            <w:tcMar>
              <w:left w:w="105" w:type="dxa"/>
              <w:right w:w="105" w:type="dxa"/>
            </w:tcMar>
            <w:vAlign w:val="center"/>
          </w:tcPr>
          <w:p w14:paraId="02207FCF">
            <w:pPr>
              <w:pStyle w:val="3"/>
              <w:widowControl/>
              <w:spacing w:beforeAutospacing="0" w:afterAutospacing="0" w:line="360" w:lineRule="auto"/>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入组：39例</w:t>
            </w:r>
          </w:p>
        </w:tc>
      </w:tr>
      <w:tr w14:paraId="49F410E5">
        <w:tblPrEx>
          <w:tblCellMar>
            <w:top w:w="0" w:type="dxa"/>
            <w:left w:w="0" w:type="dxa"/>
            <w:bottom w:w="0" w:type="dxa"/>
            <w:right w:w="0" w:type="dxa"/>
          </w:tblCellMar>
        </w:tblPrEx>
        <w:trPr>
          <w:trHeight w:val="510" w:hRule="atLeast"/>
          <w:tblCellSpacing w:w="0" w:type="dxa"/>
          <w:jc w:val="center"/>
        </w:trPr>
        <w:tc>
          <w:tcPr>
            <w:tcW w:w="770" w:type="dxa"/>
            <w:tcBorders>
              <w:top w:val="nil"/>
              <w:left w:val="single" w:color="auto" w:sz="6" w:space="0"/>
              <w:bottom w:val="single" w:color="auto" w:sz="6" w:space="0"/>
              <w:right w:val="single" w:color="auto" w:sz="6" w:space="0"/>
            </w:tcBorders>
            <w:noWrap/>
            <w:tcMar>
              <w:left w:w="105" w:type="dxa"/>
              <w:right w:w="105" w:type="dxa"/>
            </w:tcMar>
            <w:vAlign w:val="center"/>
          </w:tcPr>
          <w:p w14:paraId="278BE78C">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color w:val="000000"/>
              </w:rPr>
              <w:t>2</w:t>
            </w:r>
          </w:p>
        </w:tc>
        <w:tc>
          <w:tcPr>
            <w:tcW w:w="7140" w:type="dxa"/>
            <w:tcBorders>
              <w:top w:val="nil"/>
              <w:left w:val="nil"/>
              <w:bottom w:val="single" w:color="auto" w:sz="6" w:space="0"/>
              <w:right w:val="single" w:color="auto" w:sz="6" w:space="0"/>
            </w:tcBorders>
            <w:tcMar>
              <w:left w:w="105" w:type="dxa"/>
              <w:right w:w="105" w:type="dxa"/>
            </w:tcMar>
            <w:vAlign w:val="center"/>
          </w:tcPr>
          <w:p w14:paraId="3D3EA493">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rPr>
              <w:t>一次性使用高通量血液透析器（H-40）用于慢生肾衰竭患者血液透析的有效性和安全性的随机、开放、阳性平行对照、非劣性、多中心临床试验（JT201910LZ）</w:t>
            </w:r>
          </w:p>
        </w:tc>
        <w:tc>
          <w:tcPr>
            <w:tcW w:w="1474" w:type="dxa"/>
            <w:tcBorders>
              <w:top w:val="nil"/>
              <w:left w:val="nil"/>
              <w:bottom w:val="single" w:color="auto" w:sz="6" w:space="0"/>
              <w:right w:val="single" w:color="auto" w:sz="6" w:space="0"/>
            </w:tcBorders>
            <w:tcMar>
              <w:left w:w="105" w:type="dxa"/>
              <w:right w:w="105" w:type="dxa"/>
            </w:tcMar>
            <w:vAlign w:val="center"/>
          </w:tcPr>
          <w:p w14:paraId="00B730E1">
            <w:pPr>
              <w:pStyle w:val="3"/>
              <w:widowControl/>
              <w:spacing w:beforeAutospacing="0" w:afterAutospacing="0" w:line="360" w:lineRule="auto"/>
              <w:jc w:val="both"/>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入组：38例</w:t>
            </w:r>
          </w:p>
        </w:tc>
      </w:tr>
      <w:tr w14:paraId="1EAD64A6">
        <w:tblPrEx>
          <w:tblCellMar>
            <w:top w:w="0" w:type="dxa"/>
            <w:left w:w="0" w:type="dxa"/>
            <w:bottom w:w="0" w:type="dxa"/>
            <w:right w:w="0" w:type="dxa"/>
          </w:tblCellMar>
        </w:tblPrEx>
        <w:trPr>
          <w:trHeight w:val="750" w:hRule="atLeast"/>
          <w:tblCellSpacing w:w="0" w:type="dxa"/>
          <w:jc w:val="center"/>
        </w:trPr>
        <w:tc>
          <w:tcPr>
            <w:tcW w:w="770" w:type="dxa"/>
            <w:tcBorders>
              <w:top w:val="nil"/>
              <w:left w:val="single" w:color="auto" w:sz="6" w:space="0"/>
              <w:bottom w:val="single" w:color="auto" w:sz="6" w:space="0"/>
              <w:right w:val="single" w:color="auto" w:sz="6" w:space="0"/>
            </w:tcBorders>
            <w:noWrap/>
            <w:tcMar>
              <w:left w:w="105" w:type="dxa"/>
              <w:right w:w="105" w:type="dxa"/>
            </w:tcMar>
            <w:vAlign w:val="center"/>
          </w:tcPr>
          <w:p w14:paraId="559B7AFF">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color w:val="000000"/>
              </w:rPr>
              <w:t>3</w:t>
            </w:r>
          </w:p>
        </w:tc>
        <w:tc>
          <w:tcPr>
            <w:tcW w:w="7140" w:type="dxa"/>
            <w:tcBorders>
              <w:top w:val="nil"/>
              <w:left w:val="nil"/>
              <w:bottom w:val="single" w:color="auto" w:sz="6" w:space="0"/>
              <w:right w:val="single" w:color="auto" w:sz="6" w:space="0"/>
            </w:tcBorders>
            <w:tcMar>
              <w:left w:w="105" w:type="dxa"/>
              <w:right w:w="105" w:type="dxa"/>
            </w:tcMar>
            <w:vAlign w:val="center"/>
          </w:tcPr>
          <w:p w14:paraId="48CA68B2">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rPr>
              <w:t>评价血液透析联机干粉（DT-GFT-1）用于血液透析治疗的有效性和安全性的多中心、开放、随机、平行对照、非劣效性临床试验（JT202106LZ）</w:t>
            </w:r>
          </w:p>
        </w:tc>
        <w:tc>
          <w:tcPr>
            <w:tcW w:w="1474" w:type="dxa"/>
            <w:tcBorders>
              <w:top w:val="nil"/>
              <w:left w:val="nil"/>
              <w:bottom w:val="single" w:color="auto" w:sz="6" w:space="0"/>
              <w:right w:val="single" w:color="auto" w:sz="6" w:space="0"/>
            </w:tcBorders>
            <w:tcMar>
              <w:left w:w="105" w:type="dxa"/>
              <w:right w:w="105" w:type="dxa"/>
            </w:tcMar>
            <w:vAlign w:val="center"/>
          </w:tcPr>
          <w:p w14:paraId="32FECF0D">
            <w:pPr>
              <w:pStyle w:val="3"/>
              <w:widowControl/>
              <w:spacing w:beforeAutospacing="0" w:afterAutospacing="0" w:line="360" w:lineRule="auto"/>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入组：36例</w:t>
            </w:r>
          </w:p>
        </w:tc>
      </w:tr>
      <w:tr w14:paraId="058D044F">
        <w:tblPrEx>
          <w:tblCellMar>
            <w:top w:w="0" w:type="dxa"/>
            <w:left w:w="0" w:type="dxa"/>
            <w:bottom w:w="0" w:type="dxa"/>
            <w:right w:w="0" w:type="dxa"/>
          </w:tblCellMar>
        </w:tblPrEx>
        <w:trPr>
          <w:trHeight w:val="510" w:hRule="atLeast"/>
          <w:tblCellSpacing w:w="0" w:type="dxa"/>
          <w:jc w:val="center"/>
        </w:trPr>
        <w:tc>
          <w:tcPr>
            <w:tcW w:w="770" w:type="dxa"/>
            <w:tcBorders>
              <w:top w:val="nil"/>
              <w:left w:val="single" w:color="auto" w:sz="6" w:space="0"/>
              <w:bottom w:val="single" w:color="auto" w:sz="6" w:space="0"/>
              <w:right w:val="single" w:color="auto" w:sz="6" w:space="0"/>
            </w:tcBorders>
            <w:noWrap/>
            <w:tcMar>
              <w:left w:w="105" w:type="dxa"/>
              <w:right w:w="105" w:type="dxa"/>
            </w:tcMar>
            <w:vAlign w:val="center"/>
          </w:tcPr>
          <w:p w14:paraId="034A4598">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color w:val="000000"/>
              </w:rPr>
              <w:t>4</w:t>
            </w:r>
          </w:p>
        </w:tc>
        <w:tc>
          <w:tcPr>
            <w:tcW w:w="7140" w:type="dxa"/>
            <w:tcBorders>
              <w:top w:val="nil"/>
              <w:left w:val="nil"/>
              <w:bottom w:val="single" w:color="auto" w:sz="6" w:space="0"/>
              <w:right w:val="single" w:color="auto" w:sz="6" w:space="0"/>
            </w:tcBorders>
            <w:tcMar>
              <w:left w:w="105" w:type="dxa"/>
              <w:right w:w="105" w:type="dxa"/>
            </w:tcMar>
            <w:vAlign w:val="center"/>
          </w:tcPr>
          <w:p w14:paraId="535C78D0">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rPr>
              <w:t>采用前瞻性、随机、阳性平等对照、开放、多中心、非劣效性设计，评价血液透析器（HDL16）用于慢性肾衰竭患者的血液透析治疗的有效性和安全性的临床试验</w:t>
            </w:r>
          </w:p>
        </w:tc>
        <w:tc>
          <w:tcPr>
            <w:tcW w:w="1474" w:type="dxa"/>
            <w:tcBorders>
              <w:top w:val="nil"/>
              <w:left w:val="nil"/>
              <w:bottom w:val="single" w:color="auto" w:sz="6" w:space="0"/>
              <w:right w:val="single" w:color="auto" w:sz="6" w:space="0"/>
            </w:tcBorders>
            <w:tcMar>
              <w:left w:w="105" w:type="dxa"/>
              <w:right w:w="105" w:type="dxa"/>
            </w:tcMar>
            <w:vAlign w:val="center"/>
          </w:tcPr>
          <w:p w14:paraId="2C4923FE">
            <w:pPr>
              <w:pStyle w:val="3"/>
              <w:widowControl/>
              <w:spacing w:beforeAutospacing="0" w:afterAutospacing="0" w:line="360" w:lineRule="auto"/>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入组：68例</w:t>
            </w:r>
          </w:p>
        </w:tc>
      </w:tr>
      <w:tr w14:paraId="2F1218A6">
        <w:tblPrEx>
          <w:tblCellMar>
            <w:top w:w="0" w:type="dxa"/>
            <w:left w:w="0" w:type="dxa"/>
            <w:bottom w:w="0" w:type="dxa"/>
            <w:right w:w="0" w:type="dxa"/>
          </w:tblCellMar>
        </w:tblPrEx>
        <w:trPr>
          <w:trHeight w:val="480" w:hRule="atLeast"/>
          <w:tblCellSpacing w:w="0" w:type="dxa"/>
          <w:jc w:val="center"/>
        </w:trPr>
        <w:tc>
          <w:tcPr>
            <w:tcW w:w="770" w:type="dxa"/>
            <w:tcBorders>
              <w:top w:val="nil"/>
              <w:left w:val="single" w:color="auto" w:sz="6" w:space="0"/>
              <w:bottom w:val="single" w:color="auto" w:sz="6" w:space="0"/>
              <w:right w:val="single" w:color="auto" w:sz="6" w:space="0"/>
            </w:tcBorders>
            <w:noWrap/>
            <w:tcMar>
              <w:left w:w="105" w:type="dxa"/>
              <w:right w:w="105" w:type="dxa"/>
            </w:tcMar>
            <w:vAlign w:val="center"/>
          </w:tcPr>
          <w:p w14:paraId="431E8030">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color w:val="000000"/>
              </w:rPr>
              <w:t>5</w:t>
            </w:r>
          </w:p>
        </w:tc>
        <w:tc>
          <w:tcPr>
            <w:tcW w:w="7140" w:type="dxa"/>
            <w:tcBorders>
              <w:top w:val="nil"/>
              <w:left w:val="nil"/>
              <w:bottom w:val="single" w:color="auto" w:sz="6" w:space="0"/>
              <w:right w:val="single" w:color="auto" w:sz="6" w:space="0"/>
            </w:tcBorders>
            <w:tcMar>
              <w:left w:w="105" w:type="dxa"/>
              <w:right w:w="105" w:type="dxa"/>
            </w:tcMar>
            <w:vAlign w:val="center"/>
          </w:tcPr>
          <w:p w14:paraId="04288B48">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rPr>
              <w:t>阿司匹林减少透析患者心血管事件的实用性、基于登记系统、随机、双盲临床试验</w:t>
            </w:r>
          </w:p>
        </w:tc>
        <w:tc>
          <w:tcPr>
            <w:tcW w:w="1474" w:type="dxa"/>
            <w:tcBorders>
              <w:top w:val="nil"/>
              <w:left w:val="nil"/>
              <w:bottom w:val="single" w:color="auto" w:sz="6" w:space="0"/>
              <w:right w:val="single" w:color="auto" w:sz="6" w:space="0"/>
            </w:tcBorders>
            <w:tcMar>
              <w:left w:w="105" w:type="dxa"/>
              <w:right w:w="105" w:type="dxa"/>
            </w:tcMar>
            <w:vAlign w:val="center"/>
          </w:tcPr>
          <w:p w14:paraId="03064C61">
            <w:pPr>
              <w:pStyle w:val="3"/>
              <w:widowControl/>
              <w:spacing w:beforeAutospacing="0" w:afterAutospacing="0" w:line="360" w:lineRule="auto"/>
              <w:jc w:val="center"/>
              <w:rPr>
                <w:rFonts w:hint="default" w:ascii="Times New Roman" w:hAnsi="Times New Roman" w:eastAsia="宋体" w:cs="Times New Roman"/>
              </w:rPr>
            </w:pPr>
          </w:p>
        </w:tc>
      </w:tr>
      <w:tr w14:paraId="6F2341DE">
        <w:tblPrEx>
          <w:tblCellMar>
            <w:top w:w="0" w:type="dxa"/>
            <w:left w:w="0" w:type="dxa"/>
            <w:bottom w:w="0" w:type="dxa"/>
            <w:right w:w="0" w:type="dxa"/>
          </w:tblCellMar>
        </w:tblPrEx>
        <w:trPr>
          <w:trHeight w:val="795" w:hRule="atLeast"/>
          <w:tblCellSpacing w:w="0" w:type="dxa"/>
          <w:jc w:val="center"/>
        </w:trPr>
        <w:tc>
          <w:tcPr>
            <w:tcW w:w="770" w:type="dxa"/>
            <w:tcBorders>
              <w:top w:val="nil"/>
              <w:left w:val="single" w:color="auto" w:sz="6" w:space="0"/>
              <w:bottom w:val="single" w:color="auto" w:sz="6" w:space="0"/>
              <w:right w:val="single" w:color="auto" w:sz="6" w:space="0"/>
            </w:tcBorders>
            <w:noWrap/>
            <w:tcMar>
              <w:left w:w="105" w:type="dxa"/>
              <w:right w:w="105" w:type="dxa"/>
            </w:tcMar>
            <w:vAlign w:val="center"/>
          </w:tcPr>
          <w:p w14:paraId="5576529E">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color w:val="000000"/>
              </w:rPr>
              <w:t>6</w:t>
            </w:r>
          </w:p>
        </w:tc>
        <w:tc>
          <w:tcPr>
            <w:tcW w:w="7140" w:type="dxa"/>
            <w:tcBorders>
              <w:top w:val="nil"/>
              <w:left w:val="nil"/>
              <w:bottom w:val="single" w:color="auto" w:sz="6" w:space="0"/>
              <w:right w:val="single" w:color="auto" w:sz="6" w:space="0"/>
            </w:tcBorders>
            <w:tcMar>
              <w:left w:w="105" w:type="dxa"/>
              <w:right w:w="105" w:type="dxa"/>
            </w:tcMar>
            <w:vAlign w:val="center"/>
          </w:tcPr>
          <w:p w14:paraId="374C6BFD">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color w:val="000000"/>
              </w:rPr>
              <w:t>评价苹果酸奈诺沙星胶囊治疗单纯性尿路感觉的有效性与安全性的多中心、随机、双盲、左氧氟沙星平行对照的III 期临床研究（ZMC-2021-02-TP）</w:t>
            </w:r>
          </w:p>
        </w:tc>
        <w:tc>
          <w:tcPr>
            <w:tcW w:w="1474" w:type="dxa"/>
            <w:tcBorders>
              <w:top w:val="nil"/>
              <w:left w:val="nil"/>
              <w:bottom w:val="single" w:color="auto" w:sz="6" w:space="0"/>
              <w:right w:val="single" w:color="auto" w:sz="6" w:space="0"/>
            </w:tcBorders>
            <w:tcMar>
              <w:left w:w="105" w:type="dxa"/>
              <w:right w:w="105" w:type="dxa"/>
            </w:tcMar>
            <w:vAlign w:val="center"/>
          </w:tcPr>
          <w:p w14:paraId="0BB5A740">
            <w:pPr>
              <w:pStyle w:val="3"/>
              <w:widowControl/>
              <w:spacing w:beforeAutospacing="0" w:afterAutospacing="0" w:line="360" w:lineRule="auto"/>
              <w:jc w:val="center"/>
              <w:rPr>
                <w:rFonts w:hint="default" w:ascii="Times New Roman" w:hAnsi="Times New Roman" w:eastAsia="宋体" w:cs="Times New Roman"/>
                <w:color w:val="000000"/>
                <w:lang w:val="en-US" w:eastAsia="zh-CN"/>
              </w:rPr>
            </w:pPr>
            <w:r>
              <w:rPr>
                <w:rFonts w:hint="eastAsia" w:ascii="Times New Roman" w:hAnsi="Times New Roman" w:eastAsia="宋体" w:cs="Times New Roman"/>
                <w:color w:val="000000"/>
                <w:lang w:val="en-US" w:eastAsia="zh-CN"/>
              </w:rPr>
              <w:t>入组：61例</w:t>
            </w:r>
          </w:p>
        </w:tc>
      </w:tr>
      <w:tr w14:paraId="5A3E01C4">
        <w:tblPrEx>
          <w:tblCellMar>
            <w:top w:w="0" w:type="dxa"/>
            <w:left w:w="0" w:type="dxa"/>
            <w:bottom w:w="0" w:type="dxa"/>
            <w:right w:w="0" w:type="dxa"/>
          </w:tblCellMar>
        </w:tblPrEx>
        <w:trPr>
          <w:trHeight w:val="795" w:hRule="atLeast"/>
          <w:tblCellSpacing w:w="0" w:type="dxa"/>
          <w:jc w:val="center"/>
        </w:trPr>
        <w:tc>
          <w:tcPr>
            <w:tcW w:w="770" w:type="dxa"/>
            <w:tcBorders>
              <w:top w:val="nil"/>
              <w:left w:val="single" w:color="auto" w:sz="6" w:space="0"/>
              <w:bottom w:val="single" w:color="auto" w:sz="6" w:space="0"/>
              <w:right w:val="single" w:color="auto" w:sz="6" w:space="0"/>
            </w:tcBorders>
            <w:noWrap/>
            <w:tcMar>
              <w:left w:w="105" w:type="dxa"/>
              <w:right w:w="105" w:type="dxa"/>
            </w:tcMar>
            <w:vAlign w:val="center"/>
          </w:tcPr>
          <w:p w14:paraId="2E6F09BD">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color w:val="000000"/>
              </w:rPr>
              <w:t>7</w:t>
            </w:r>
          </w:p>
        </w:tc>
        <w:tc>
          <w:tcPr>
            <w:tcW w:w="7140" w:type="dxa"/>
            <w:tcBorders>
              <w:top w:val="nil"/>
              <w:left w:val="nil"/>
              <w:bottom w:val="single" w:color="auto" w:sz="6" w:space="0"/>
              <w:right w:val="single" w:color="auto" w:sz="6" w:space="0"/>
            </w:tcBorders>
            <w:tcMar>
              <w:left w:w="105" w:type="dxa"/>
              <w:right w:w="105" w:type="dxa"/>
            </w:tcMar>
            <w:vAlign w:val="center"/>
          </w:tcPr>
          <w:p w14:paraId="74D5522D">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rPr>
              <w:t>一项多中心、随机、双盲、安慰剂对照的</w:t>
            </w:r>
            <w:r>
              <w:rPr>
                <w:rFonts w:hint="default" w:ascii="Times New Roman" w:hAnsi="Times New Roman" w:eastAsia="宋体" w:cs="Times New Roman"/>
                <w:color w:val="000000"/>
              </w:rPr>
              <w:t>III 期临床研究评估WS016治疗高钾血症患者的有效性和安全性</w:t>
            </w:r>
          </w:p>
        </w:tc>
        <w:tc>
          <w:tcPr>
            <w:tcW w:w="1474" w:type="dxa"/>
            <w:tcBorders>
              <w:top w:val="nil"/>
              <w:left w:val="nil"/>
              <w:bottom w:val="single" w:color="auto" w:sz="6" w:space="0"/>
              <w:right w:val="single" w:color="auto" w:sz="6" w:space="0"/>
            </w:tcBorders>
            <w:tcMar>
              <w:left w:w="105" w:type="dxa"/>
              <w:right w:w="105" w:type="dxa"/>
            </w:tcMar>
            <w:vAlign w:val="center"/>
          </w:tcPr>
          <w:p w14:paraId="149B68FE">
            <w:pPr>
              <w:pStyle w:val="3"/>
              <w:widowControl/>
              <w:spacing w:beforeAutospacing="0" w:afterAutospacing="0" w:line="360" w:lineRule="auto"/>
              <w:jc w:val="center"/>
              <w:rPr>
                <w:rFonts w:hint="default" w:ascii="Times New Roman" w:hAnsi="Times New Roman" w:eastAsia="宋体" w:cs="Times New Roman"/>
              </w:rPr>
            </w:pPr>
          </w:p>
        </w:tc>
      </w:tr>
      <w:tr w14:paraId="1FDD96FB">
        <w:tblPrEx>
          <w:tblCellMar>
            <w:top w:w="0" w:type="dxa"/>
            <w:left w:w="0" w:type="dxa"/>
            <w:bottom w:w="0" w:type="dxa"/>
            <w:right w:w="0" w:type="dxa"/>
          </w:tblCellMar>
        </w:tblPrEx>
        <w:trPr>
          <w:trHeight w:val="480" w:hRule="atLeast"/>
          <w:tblCellSpacing w:w="0" w:type="dxa"/>
          <w:jc w:val="center"/>
        </w:trPr>
        <w:tc>
          <w:tcPr>
            <w:tcW w:w="770" w:type="dxa"/>
            <w:tcBorders>
              <w:top w:val="nil"/>
              <w:left w:val="single" w:color="auto" w:sz="6" w:space="0"/>
              <w:bottom w:val="single" w:color="auto" w:sz="6" w:space="0"/>
              <w:right w:val="single" w:color="auto" w:sz="6" w:space="0"/>
            </w:tcBorders>
            <w:noWrap/>
            <w:tcMar>
              <w:left w:w="105" w:type="dxa"/>
              <w:right w:w="105" w:type="dxa"/>
            </w:tcMar>
            <w:vAlign w:val="center"/>
          </w:tcPr>
          <w:p w14:paraId="45BD4414">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color w:val="000000"/>
              </w:rPr>
              <w:t>8</w:t>
            </w:r>
          </w:p>
        </w:tc>
        <w:tc>
          <w:tcPr>
            <w:tcW w:w="7140" w:type="dxa"/>
            <w:tcBorders>
              <w:top w:val="nil"/>
              <w:left w:val="nil"/>
              <w:bottom w:val="single" w:color="auto" w:sz="6" w:space="0"/>
              <w:right w:val="single" w:color="auto" w:sz="6" w:space="0"/>
            </w:tcBorders>
            <w:tcMar>
              <w:left w:w="105" w:type="dxa"/>
              <w:right w:w="105" w:type="dxa"/>
            </w:tcMar>
            <w:vAlign w:val="center"/>
          </w:tcPr>
          <w:p w14:paraId="08E97E59">
            <w:pPr>
              <w:pStyle w:val="3"/>
              <w:widowControl/>
              <w:spacing w:beforeAutospacing="0" w:afterAutospacing="0" w:line="360" w:lineRule="auto"/>
              <w:jc w:val="center"/>
              <w:rPr>
                <w:rFonts w:hint="default" w:ascii="Times New Roman" w:hAnsi="Times New Roman" w:eastAsia="宋体" w:cs="Times New Roman"/>
              </w:rPr>
            </w:pPr>
            <w:r>
              <w:rPr>
                <w:rFonts w:hint="default" w:ascii="Times New Roman" w:hAnsi="Times New Roman" w:eastAsia="宋体" w:cs="Times New Roman"/>
              </w:rPr>
              <w:t>柯孜木克颗粒治疗急性单纯性下尿路感染的随机、双盲、阳性药物平行对照、多中心、</w:t>
            </w:r>
            <w:r>
              <w:rPr>
                <w:rFonts w:hint="default" w:ascii="Times New Roman" w:hAnsi="Times New Roman" w:eastAsia="宋体" w:cs="Times New Roman"/>
                <w:color w:val="000000"/>
              </w:rPr>
              <w:t>III 期探索性临床试验</w:t>
            </w:r>
          </w:p>
        </w:tc>
        <w:tc>
          <w:tcPr>
            <w:tcW w:w="1474" w:type="dxa"/>
            <w:tcBorders>
              <w:top w:val="nil"/>
              <w:left w:val="nil"/>
              <w:bottom w:val="single" w:color="auto" w:sz="6" w:space="0"/>
              <w:right w:val="single" w:color="auto" w:sz="6" w:space="0"/>
            </w:tcBorders>
            <w:tcMar>
              <w:left w:w="105" w:type="dxa"/>
              <w:right w:w="105" w:type="dxa"/>
            </w:tcMar>
            <w:vAlign w:val="center"/>
          </w:tcPr>
          <w:p w14:paraId="4A3A3F81">
            <w:pPr>
              <w:pStyle w:val="3"/>
              <w:widowControl/>
              <w:spacing w:beforeAutospacing="0" w:afterAutospacing="0" w:line="360" w:lineRule="auto"/>
              <w:jc w:val="center"/>
              <w:rPr>
                <w:rFonts w:hint="default" w:ascii="Times New Roman" w:hAnsi="Times New Roman" w:eastAsia="宋体" w:cs="Times New Roman"/>
              </w:rPr>
            </w:pPr>
          </w:p>
        </w:tc>
      </w:tr>
    </w:tbl>
    <w:p w14:paraId="71971085">
      <w:pPr>
        <w:spacing w:line="360" w:lineRule="auto"/>
        <w:jc w:val="center"/>
        <w:rPr>
          <w:rFonts w:hint="default" w:ascii="Times New Roman" w:hAnsi="Times New Roman" w:eastAsia="宋体" w:cs="Times New Roman"/>
          <w:sz w:val="24"/>
        </w:rPr>
      </w:pPr>
    </w:p>
    <w:sectPr>
      <w:pgSz w:w="11906" w:h="16838"/>
      <w:pgMar w:top="1440" w:right="1797" w:bottom="1440" w:left="179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29E583"/>
    <w:multiLevelType w:val="singleLevel"/>
    <w:tmpl w:val="9229E583"/>
    <w:lvl w:ilvl="0" w:tentative="0">
      <w:start w:val="1"/>
      <w:numFmt w:val="bullet"/>
      <w:lvlText w:val=""/>
      <w:lvlJc w:val="left"/>
      <w:pPr>
        <w:ind w:left="42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0462"/>
    <w:rsid w:val="001C5CCA"/>
    <w:rsid w:val="002A0462"/>
    <w:rsid w:val="004254E8"/>
    <w:rsid w:val="0043172E"/>
    <w:rsid w:val="0052592A"/>
    <w:rsid w:val="007A6691"/>
    <w:rsid w:val="0083778F"/>
    <w:rsid w:val="00C672CB"/>
    <w:rsid w:val="00CA1E03"/>
    <w:rsid w:val="00CD7634"/>
    <w:rsid w:val="00D32246"/>
    <w:rsid w:val="00E53739"/>
    <w:rsid w:val="03BB6478"/>
    <w:rsid w:val="05B31F3F"/>
    <w:rsid w:val="0F6438FD"/>
    <w:rsid w:val="147A40CA"/>
    <w:rsid w:val="1D306ECF"/>
    <w:rsid w:val="22B83E1E"/>
    <w:rsid w:val="292E39DC"/>
    <w:rsid w:val="2E8D23D3"/>
    <w:rsid w:val="383F74F8"/>
    <w:rsid w:val="39B037E6"/>
    <w:rsid w:val="44323F78"/>
    <w:rsid w:val="4D6538AB"/>
    <w:rsid w:val="4FFF6109"/>
    <w:rsid w:val="587A4EC7"/>
    <w:rsid w:val="5AE97277"/>
    <w:rsid w:val="5BEB5F41"/>
    <w:rsid w:val="65451723"/>
    <w:rsid w:val="685601B8"/>
    <w:rsid w:val="69655E7A"/>
    <w:rsid w:val="6ADA78B0"/>
    <w:rsid w:val="70732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3">
    <w:name w:val="Normal (Web)"/>
    <w:basedOn w:val="1"/>
    <w:uiPriority w:val="0"/>
    <w:pPr>
      <w:spacing w:beforeAutospacing="1" w:afterAutospacing="1"/>
      <w:jc w:val="left"/>
    </w:pPr>
    <w:rPr>
      <w:rFonts w:cs="Times New Roman"/>
      <w:kern w:val="0"/>
      <w:sz w:val="24"/>
    </w:rPr>
  </w:style>
  <w:style w:type="character" w:styleId="6">
    <w:name w:val="Strong"/>
    <w:basedOn w:val="5"/>
    <w:qFormat/>
    <w:uiPriority w:val="0"/>
    <w:rPr>
      <w:b/>
    </w:rPr>
  </w:style>
  <w:style w:type="paragraph" w:styleId="7">
    <w:name w:val="List Paragraph"/>
    <w:basedOn w:val="1"/>
    <w:qFormat/>
    <w:uiPriority w:val="34"/>
    <w:pPr>
      <w:widowControl/>
      <w:ind w:left="720"/>
      <w:contextualSpacing/>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1868</Words>
  <Characters>2110</Characters>
  <Lines>15</Lines>
  <Paragraphs>4</Paragraphs>
  <TotalTime>903</TotalTime>
  <ScaleCrop>false</ScaleCrop>
  <LinksUpToDate>false</LinksUpToDate>
  <CharactersWithSpaces>2138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2024-03-07T02:28:00Z</dcterms:created>
  <dc:creator>Administrator</dc:creator>
  <cp:lastModifiedBy>李倩</cp:lastModifiedBy>
  <dcterms:modified xsi:type="dcterms:W3CDTF">2026-01-16T07:25:37Z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95CAD541B52E4416B89E0376EEB28243_13</vt:lpwstr>
  </property>
  <property fmtid="{D5CDD505-2E9C-101B-9397-08002B2CF9AE}" pid="4" name="KSOTemplateDocerSaveRecord">
    <vt:lpwstr>eyJoZGlkIjoiOWQ0YWI2NGY4YTdlODYyMzc3ZDI4NDhhMzVhNjBlNjIiLCJ1c2VySWQiOiIzMTM4MTI4NjIifQ==</vt:lpwstr>
  </property>
</Properties>
</file>