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343918">
      <w:pPr>
        <w:pStyle w:val="2"/>
        <w:widowControl/>
        <w:spacing w:beforeAutospacing="0" w:afterAutospacing="0" w:line="360" w:lineRule="auto"/>
        <w:ind w:firstLine="643" w:firstLineChars="200"/>
        <w:jc w:val="center"/>
        <w:rPr>
          <w:rFonts w:asciiTheme="minorEastAsia" w:hAnsiTheme="minorEastAsia" w:eastAsiaTheme="minorEastAsia" w:cstheme="minorEastAsia"/>
          <w:sz w:val="32"/>
          <w:szCs w:val="32"/>
        </w:rPr>
      </w:pPr>
      <w:r>
        <w:rPr>
          <w:rFonts w:asciiTheme="minorEastAsia" w:hAnsiTheme="minorEastAsia" w:eastAsiaTheme="minorEastAsia" w:cstheme="minorEastAsia"/>
          <w:sz w:val="32"/>
          <w:szCs w:val="32"/>
        </w:rPr>
        <w:t>神经内科</w:t>
      </w:r>
    </w:p>
    <w:p w14:paraId="7280ADA8">
      <w:pPr>
        <w:pStyle w:val="2"/>
        <w:widowControl/>
        <w:spacing w:beforeAutospacing="0" w:afterAutospacing="0" w:line="360" w:lineRule="auto"/>
        <w:ind w:firstLine="643" w:firstLineChars="200"/>
        <w:jc w:val="center"/>
        <w:rPr>
          <w:rFonts w:hint="default" w:asciiTheme="minorEastAsia" w:hAnsiTheme="minorEastAsia" w:eastAsiaTheme="minorEastAsia" w:cstheme="minorEastAsia"/>
          <w:sz w:val="32"/>
          <w:szCs w:val="32"/>
        </w:rPr>
      </w:pPr>
      <w:r>
        <w:rPr>
          <w:rStyle w:val="7"/>
          <w:rFonts w:asciiTheme="minorEastAsia" w:hAnsiTheme="minorEastAsia" w:eastAsiaTheme="minorEastAsia" w:cstheme="minorEastAsia"/>
          <w:b/>
          <w:sz w:val="32"/>
          <w:szCs w:val="32"/>
        </w:rPr>
        <w:t>专业介绍</w:t>
      </w:r>
    </w:p>
    <w:p w14:paraId="48A30C4D">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auto"/>
          <w:kern w:val="0"/>
          <w:sz w:val="24"/>
          <w:szCs w:val="24"/>
        </w:rPr>
        <w:t>【科室概况】</w:t>
      </w:r>
    </w:p>
    <w:p w14:paraId="10844121">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神经内科专业是药物及医疗器械临床试验备案专业</w:t>
      </w:r>
      <w:r>
        <w:rPr>
          <w:rFonts w:hint="eastAsia" w:ascii="Times New Roman" w:hAnsi="Times New Roman" w:eastAsia="宋体" w:cs="Times New Roman"/>
          <w:sz w:val="24"/>
          <w:szCs w:val="24"/>
          <w:lang w:eastAsia="zh-CN"/>
        </w:rPr>
        <w:t>，</w:t>
      </w:r>
      <w:bookmarkStart w:id="0" w:name="_GoBack"/>
      <w:bookmarkEnd w:id="0"/>
      <w:r>
        <w:rPr>
          <w:rFonts w:hint="default" w:ascii="Times New Roman" w:hAnsi="Times New Roman" w:eastAsia="宋体" w:cs="Times New Roman"/>
          <w:sz w:val="24"/>
          <w:szCs w:val="24"/>
        </w:rPr>
        <w:t>为湛江市重点临床专科，医院重点临床专科,“国家高级卒中中心”，全国卒中中心质量排名为24名(广东省排名第1),为广东省首批住院医师和专科医师培训基地,也是脑防委湛江市神经内科质控中心。目前神经内科共4个病区，核定床位296张,共有医生48名，其中博士3人，其中高级职称25人（正高8人、副高17人），硕士生导师1人</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护士88名。已建立了以脑血管病、帕金森病和变性疾病、眩晕、痴呆、癞病等为重点方向的团队。开展脑血管病的溶栓、血管内介入诊疗,在急性脑梗取栓、颅内外动脉狭窄血管成形治疗上取得长足发展,年溶栓和介入手术量跻身全市前列。科室拥有独立的神经电生理室(包括脑电图、视频脑电图及长程动态脑电图机、诱发电位及肌电图机等)。结合医院的512排CT 和MRI(3.0T) 、PET等先进的诊疗仪器，为提高神经内科临床医疗水平提供了可靠保障。</w:t>
      </w:r>
    </w:p>
    <w:p w14:paraId="09455116">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开设全天候的神经内科急诊和工作日门诊</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年门急诊量约12万人次</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年住院病人约1.2万人次。临床试验优势病种有</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神经系统疾病,包括各类型脑血管病、中枢及周围性眩晕、头痛、神经免疫性疾病、神经变性病、神经遗传疾病、中枢神经系统感染、神经心理疾病等，同时可以承接呼系统感染类疾病如（院内感染性肺炎）。</w:t>
      </w:r>
    </w:p>
    <w:p w14:paraId="488FF0BA">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科室地址：湛江市赤坎区源珠路236号7号楼</w:t>
      </w:r>
    </w:p>
    <w:p w14:paraId="52DF1AB4">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专业人员数：60余人</w:t>
      </w:r>
    </w:p>
    <w:p w14:paraId="603501FA">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病床数：296</w:t>
      </w:r>
    </w:p>
    <w:p w14:paraId="197B4E56">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年门诊量：12万人次</w:t>
      </w:r>
    </w:p>
    <w:p w14:paraId="0D12B5BC">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联系电话（座机或手机）：0759-3157085     邮箱：maihuixing@163.com     </w:t>
      </w:r>
    </w:p>
    <w:p w14:paraId="7F9180CC">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color w:val="auto"/>
          <w:kern w:val="0"/>
          <w:sz w:val="24"/>
          <w:szCs w:val="24"/>
        </w:rPr>
      </w:pPr>
    </w:p>
    <w:p w14:paraId="73AE048D">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color w:val="auto"/>
          <w:kern w:val="0"/>
          <w:sz w:val="24"/>
          <w:szCs w:val="24"/>
        </w:rPr>
      </w:pPr>
    </w:p>
    <w:p w14:paraId="5EEA2FF3">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b w:val="0"/>
          <w:bCs/>
          <w:i w:val="0"/>
          <w:iCs w:val="0"/>
          <w:caps w:val="0"/>
          <w:color w:val="191919"/>
          <w:spacing w:val="0"/>
          <w:sz w:val="24"/>
          <w:szCs w:val="24"/>
          <w:shd w:val="clear" w:color="auto" w:fill="FFFFFF"/>
          <w:lang w:val="en-US" w:eastAsia="zh-CN"/>
        </w:rPr>
      </w:pPr>
      <w:r>
        <w:rPr>
          <w:rFonts w:hint="default" w:ascii="Times New Roman" w:hAnsi="Times New Roman" w:eastAsia="宋体" w:cs="Times New Roman"/>
          <w:color w:val="auto"/>
          <w:kern w:val="0"/>
          <w:sz w:val="24"/>
          <w:szCs w:val="24"/>
        </w:rPr>
        <w:t>【技术团队】</w:t>
      </w:r>
    </w:p>
    <w:p w14:paraId="26302F5F">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目前神经内科共有医生48名，其中博士3人，其中高级职称25人（正高8人、副高17人），硕士生导师1人</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护士88名</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已建立了以脑血管病、帕金森病和变性疾病、眩晕、痴呆、癞病等为重点方向的团队</w:t>
      </w:r>
      <w:r>
        <w:rPr>
          <w:rFonts w:hint="default" w:ascii="Times New Roman" w:hAnsi="Times New Roman" w:eastAsia="宋体" w:cs="Times New Roman"/>
          <w:sz w:val="24"/>
          <w:szCs w:val="24"/>
          <w:lang w:eastAsia="zh-CN"/>
        </w:rPr>
        <w:t>。</w:t>
      </w:r>
    </w:p>
    <w:p w14:paraId="1EE48A39">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常见病种</w:t>
      </w:r>
      <w:r>
        <w:rPr>
          <w:rFonts w:hint="default" w:ascii="Times New Roman" w:hAnsi="Times New Roman" w:eastAsia="宋体" w:cs="Times New Roman"/>
          <w:color w:val="auto"/>
          <w:kern w:val="0"/>
          <w:sz w:val="24"/>
          <w:szCs w:val="24"/>
        </w:rPr>
        <w:t>】</w:t>
      </w:r>
    </w:p>
    <w:p w14:paraId="3C108289">
      <w:pPr>
        <w:pStyle w:val="3"/>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脑血管病：年门诊量约100000人次。</w:t>
      </w:r>
    </w:p>
    <w:p w14:paraId="50DBC37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76"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p>
    <w:p w14:paraId="37967141">
      <w:pPr>
        <w:pStyle w:val="3"/>
        <w:widowControl/>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drawing>
          <wp:inline distT="0" distB="0" distL="114300" distR="114300">
            <wp:extent cx="1647825" cy="2333625"/>
            <wp:effectExtent l="0" t="0" r="9525" b="9525"/>
            <wp:docPr id="1" name="图片 1" descr="kappframework-uEdjHi(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kappframework-uEdjHi(1)(1)"/>
                    <pic:cNvPicPr>
                      <a:picLocks noChangeAspect="1"/>
                    </pic:cNvPicPr>
                  </pic:nvPicPr>
                  <pic:blipFill>
                    <a:blip r:embed="rId4"/>
                    <a:stretch>
                      <a:fillRect/>
                    </a:stretch>
                  </pic:blipFill>
                  <pic:spPr>
                    <a:xfrm>
                      <a:off x="0" y="0"/>
                      <a:ext cx="1647825" cy="2333625"/>
                    </a:xfrm>
                    <a:prstGeom prst="rect">
                      <a:avLst/>
                    </a:prstGeom>
                  </pic:spPr>
                </pic:pic>
              </a:graphicData>
            </a:graphic>
          </wp:inline>
        </w:drawing>
      </w:r>
    </w:p>
    <w:p w14:paraId="535510CE">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jc w:val="center"/>
        <w:textAlignment w:val="auto"/>
        <w:rPr>
          <w:rFonts w:hint="default" w:ascii="Times New Roman" w:hAnsi="Times New Roman" w:eastAsia="宋体" w:cs="Times New Roman"/>
          <w:b w:val="0"/>
          <w:bCs/>
          <w:sz w:val="24"/>
          <w:szCs w:val="24"/>
        </w:rPr>
      </w:pPr>
      <w:r>
        <w:rPr>
          <w:rStyle w:val="7"/>
          <w:rFonts w:hint="default" w:ascii="Times New Roman" w:hAnsi="Times New Roman" w:eastAsia="宋体" w:cs="Times New Roman"/>
          <w:b w:val="0"/>
          <w:bCs/>
          <w:sz w:val="24"/>
          <w:szCs w:val="24"/>
        </w:rPr>
        <w:t>姓名： 麦晖</w:t>
      </w:r>
      <w:r>
        <w:rPr>
          <w:rStyle w:val="7"/>
          <w:rFonts w:hint="default" w:ascii="Times New Roman" w:hAnsi="Times New Roman" w:eastAsia="宋体" w:cs="Times New Roman"/>
          <w:b w:val="0"/>
          <w:bCs/>
          <w:sz w:val="24"/>
          <w:szCs w:val="24"/>
          <w:lang w:val="en-US" w:eastAsia="zh-CN"/>
        </w:rPr>
        <w:t xml:space="preserve">   </w:t>
      </w:r>
      <w:r>
        <w:rPr>
          <w:rStyle w:val="7"/>
          <w:rFonts w:hint="default" w:ascii="Times New Roman" w:hAnsi="Times New Roman" w:eastAsia="宋体" w:cs="Times New Roman"/>
          <w:b w:val="0"/>
          <w:bCs/>
          <w:sz w:val="24"/>
          <w:szCs w:val="24"/>
        </w:rPr>
        <w:t>职务：科室主任</w:t>
      </w:r>
      <w:r>
        <w:rPr>
          <w:rStyle w:val="7"/>
          <w:rFonts w:hint="default" w:ascii="Times New Roman" w:hAnsi="Times New Roman" w:eastAsia="宋体" w:cs="Times New Roman"/>
          <w:b w:val="0"/>
          <w:bCs/>
          <w:sz w:val="24"/>
          <w:szCs w:val="24"/>
          <w:lang w:val="en-US" w:eastAsia="zh-CN"/>
        </w:rPr>
        <w:t xml:space="preserve">   </w:t>
      </w:r>
      <w:r>
        <w:rPr>
          <w:rStyle w:val="7"/>
          <w:rFonts w:hint="default" w:ascii="Times New Roman" w:hAnsi="Times New Roman" w:eastAsia="宋体" w:cs="Times New Roman"/>
          <w:b w:val="0"/>
          <w:bCs/>
          <w:sz w:val="24"/>
          <w:szCs w:val="24"/>
        </w:rPr>
        <w:t>职称：主任医师</w:t>
      </w:r>
    </w:p>
    <w:p w14:paraId="6B860B46">
      <w:pPr>
        <w:pStyle w:val="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jc w:val="center"/>
        <w:textAlignment w:val="auto"/>
        <w:rPr>
          <w:rFonts w:hint="default" w:ascii="Times New Roman" w:hAnsi="Times New Roman" w:eastAsia="宋体" w:cs="Times New Roman"/>
          <w:sz w:val="24"/>
          <w:szCs w:val="24"/>
        </w:rPr>
      </w:pPr>
      <w:r>
        <w:rPr>
          <w:rStyle w:val="7"/>
          <w:rFonts w:hint="default" w:ascii="Times New Roman" w:hAnsi="Times New Roman" w:eastAsia="宋体" w:cs="Times New Roman"/>
          <w:b w:val="0"/>
          <w:bCs/>
          <w:sz w:val="24"/>
          <w:szCs w:val="24"/>
        </w:rPr>
        <w:t xml:space="preserve">联系电话（座机或手机）：0759-3157085     邮箱：maihuixing@163.com   </w:t>
      </w:r>
      <w:r>
        <w:rPr>
          <w:rStyle w:val="7"/>
          <w:rFonts w:hint="default" w:ascii="Times New Roman" w:hAnsi="Times New Roman" w:eastAsia="宋体" w:cs="Times New Roman"/>
          <w:sz w:val="24"/>
          <w:szCs w:val="24"/>
        </w:rPr>
        <w:t xml:space="preserve">  </w:t>
      </w:r>
    </w:p>
    <w:p w14:paraId="26642BD8">
      <w:pPr>
        <w:pStyle w:val="3"/>
        <w:widowControl/>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个人简介：神经内科专业负责人麦晖 神经内四科科主，教授、主任医师、硕士生导师。瑞典卡罗林斯卡医学院访问学者、英国利物浦大学访问学者。广东省医学会神经病学分会危重学组组员、湛江市医师协会第二届理事、湛江市医会神经内科分会委员、中国心胸血管麻醉学会脑与血管分会委员、广东省医学会认知医学分会第一届委员、广东省临床医学会临床心身医学和心理治疗专业委员第一届常务委员、广东省精准医学应用学会阿尔茨海默症分会第一届常务委员、广东省基层医药学会神经内科专委会常务委员。、广东省康复医学会重症康复分会基层医院神经重症康复专业委员会委员。、广东省医疗器械管理学会医疗器械临床试验专业委员会委员、湛江市医学会医学伦理学分会第二届专业委员会委员。湛江市高层次人才。从事神经内科工作22年，擅长脑血管病，头痛、头晕、癫痫、记忆与认知功能障碍等神经内科常见病、多发病诊治以及呼吸、心血管、内分泌、消化系统等多系统共病诊治。神经介入方面开展全脑脑血管造影，颅内外血管支架植入术、球囊扩张术血管成型术，机械取栓术、颅内动脉血栓直接抽吸术等手术。此外在重症脑梗、重症脑出血、重症肌无力危象、重症中枢系统感染、难治性癫痫等疾病救治经验丰富。主持3项省级课题（广东省自然科学基金面上项目1项），2项市级课题（湛江市重大疾病专项1项），第一作者发表SCI论文10篇，其中在世界顶级医学杂志《美国医学会》（JAMA ，IF= 157.32）发表论文2篇。神经内科GCP专业组PI（主要研究者）承担国内、国际多中心RCT研究13项。</w:t>
      </w:r>
    </w:p>
    <w:p w14:paraId="74F0243F">
      <w:pPr>
        <w:pStyle w:val="3"/>
        <w:widowControl/>
        <w:spacing w:beforeAutospacing="0" w:afterAutospacing="0"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主要研究方向（意向承接试验专业方向或病种）：脑血管病、神经介入、神经重症、神经退行性疾病（AD、PD）、院内感染性肺炎。</w:t>
      </w:r>
    </w:p>
    <w:p w14:paraId="18E285A1">
      <w:pPr>
        <w:keepNext w:val="0"/>
        <w:keepLines w:val="0"/>
        <w:pageBreakBefore w:val="0"/>
        <w:widowControl/>
        <w:kinsoku/>
        <w:wordWrap/>
        <w:overflowPunct/>
        <w:topLinePunct w:val="0"/>
        <w:autoSpaceDE/>
        <w:autoSpaceDN/>
        <w:bidi w:val="0"/>
        <w:adjustRightInd/>
        <w:snapToGrid/>
        <w:spacing w:before="180" w:beforeAutospacing="0" w:after="180" w:afterAutospacing="0" w:line="360" w:lineRule="auto"/>
        <w:ind w:firstLine="480" w:firstLineChars="200"/>
        <w:jc w:val="left"/>
        <w:textAlignment w:val="auto"/>
        <w:rPr>
          <w:rFonts w:hint="default" w:ascii="Times New Roman" w:hAnsi="Times New Roman" w:eastAsia="宋体" w:cs="Times New Roman"/>
          <w:b/>
          <w:bCs/>
          <w:color w:val="000000"/>
          <w:w w:val="90"/>
          <w:sz w:val="24"/>
          <w:szCs w:val="24"/>
        </w:rPr>
      </w:pPr>
      <w:r>
        <w:rPr>
          <w:rFonts w:hint="default" w:ascii="Times New Roman" w:hAnsi="Times New Roman" w:eastAsia="宋体" w:cs="Times New Roman"/>
          <w:sz w:val="24"/>
          <w:szCs w:val="24"/>
          <w:lang w:val="en-US" w:eastAsia="zh-CN"/>
        </w:rPr>
        <w:t>【参与研究】</w:t>
      </w:r>
    </w:p>
    <w:tbl>
      <w:tblPr>
        <w:tblStyle w:val="8"/>
        <w:tblW w:w="8745" w:type="dxa"/>
        <w:tblInd w:w="-2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5"/>
        <w:gridCol w:w="6330"/>
        <w:gridCol w:w="1410"/>
      </w:tblGrid>
      <w:tr w14:paraId="39239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5" w:type="dxa"/>
          </w:tcPr>
          <w:p w14:paraId="0DF1360A">
            <w:pPr>
              <w:widowControl/>
              <w:spacing w:line="360" w:lineRule="auto"/>
              <w:jc w:val="center"/>
              <w:rPr>
                <w:rFonts w:hint="default" w:ascii="Times New Roman" w:hAnsi="Times New Roman" w:eastAsia="宋体" w:cs="Times New Roman"/>
                <w:b/>
                <w:sz w:val="24"/>
                <w:szCs w:val="24"/>
              </w:rPr>
            </w:pPr>
            <w:r>
              <w:rPr>
                <w:rFonts w:hint="default" w:ascii="Times New Roman" w:hAnsi="Times New Roman" w:eastAsia="宋体" w:cs="Times New Roman"/>
                <w:b/>
                <w:bCs/>
                <w:color w:val="000000"/>
                <w:kern w:val="0"/>
                <w:sz w:val="24"/>
                <w:szCs w:val="24"/>
                <w:lang w:bidi="ar"/>
              </w:rPr>
              <w:t>No</w:t>
            </w:r>
          </w:p>
        </w:tc>
        <w:tc>
          <w:tcPr>
            <w:tcW w:w="6330" w:type="dxa"/>
          </w:tcPr>
          <w:p w14:paraId="7FEA4933">
            <w:pPr>
              <w:widowControl/>
              <w:spacing w:line="360" w:lineRule="auto"/>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项目名称</w:t>
            </w:r>
          </w:p>
        </w:tc>
        <w:tc>
          <w:tcPr>
            <w:tcW w:w="1410" w:type="dxa"/>
          </w:tcPr>
          <w:p w14:paraId="29478DC4">
            <w:pPr>
              <w:widowControl/>
              <w:spacing w:line="360" w:lineRule="auto"/>
              <w:jc w:val="center"/>
              <w:rPr>
                <w:rFonts w:hint="default" w:ascii="Times New Roman" w:hAnsi="Times New Roman" w:eastAsia="宋体" w:cs="Times New Roman"/>
                <w:b/>
                <w:sz w:val="24"/>
                <w:szCs w:val="24"/>
                <w:lang w:val="en-US" w:eastAsia="zh-CN"/>
              </w:rPr>
            </w:pPr>
            <w:r>
              <w:rPr>
                <w:rFonts w:hint="default" w:ascii="Times New Roman" w:hAnsi="Times New Roman" w:eastAsia="宋体" w:cs="Times New Roman"/>
                <w:b/>
                <w:sz w:val="24"/>
                <w:szCs w:val="24"/>
                <w:lang w:val="en-US" w:eastAsia="zh-CN"/>
              </w:rPr>
              <w:t>备注</w:t>
            </w:r>
          </w:p>
        </w:tc>
      </w:tr>
      <w:tr w14:paraId="205E0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1005" w:type="dxa"/>
            <w:vAlign w:val="center"/>
          </w:tcPr>
          <w:p w14:paraId="303E4689">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6330" w:type="dxa"/>
          </w:tcPr>
          <w:p w14:paraId="4039F046">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一项旨在评价头孢他啶-阿维巴坦（CAZ-AVI）治疗中国成人医院获得性肺炎（包括呼吸机相关性肺炎）患者中有效性和安全性的开放性、单臂、多中心，干预性研究</w:t>
            </w:r>
          </w:p>
        </w:tc>
        <w:tc>
          <w:tcPr>
            <w:tcW w:w="1410" w:type="dxa"/>
            <w:vAlign w:val="center"/>
          </w:tcPr>
          <w:p w14:paraId="1071475C">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入组：4例</w:t>
            </w:r>
          </w:p>
        </w:tc>
      </w:tr>
      <w:tr w14:paraId="4D8CF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5" w:type="dxa"/>
            <w:vAlign w:val="center"/>
          </w:tcPr>
          <w:p w14:paraId="5109A92F">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6330" w:type="dxa"/>
          </w:tcPr>
          <w:p w14:paraId="45B6D440">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取栓系统用于急性缺血性脑卒中血管内治疗的安全性和有效性研究</w:t>
            </w:r>
          </w:p>
        </w:tc>
        <w:tc>
          <w:tcPr>
            <w:tcW w:w="1410" w:type="dxa"/>
            <w:vAlign w:val="center"/>
          </w:tcPr>
          <w:p w14:paraId="68964045">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入组：41例</w:t>
            </w:r>
          </w:p>
        </w:tc>
      </w:tr>
      <w:tr w14:paraId="5D3F8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5" w:type="dxa"/>
            <w:vAlign w:val="center"/>
          </w:tcPr>
          <w:p w14:paraId="2AC4B240">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6330" w:type="dxa"/>
          </w:tcPr>
          <w:p w14:paraId="42DBB8AD">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一项多中心、随机、双盲、安慰剂平行对照的 单唾液酸四己糖神经节苷脂钠注射液治疗急性 缺血性脑卒中患者的确证性临床研究</w:t>
            </w:r>
          </w:p>
        </w:tc>
        <w:tc>
          <w:tcPr>
            <w:tcW w:w="1410" w:type="dxa"/>
            <w:vAlign w:val="center"/>
          </w:tcPr>
          <w:p w14:paraId="7901EAC6">
            <w:pPr>
              <w:jc w:val="center"/>
              <w:rPr>
                <w:rFonts w:hint="default" w:ascii="Times New Roman" w:hAnsi="Times New Roman" w:eastAsia="宋体" w:cs="Times New Roman"/>
                <w:sz w:val="24"/>
                <w:szCs w:val="24"/>
              </w:rPr>
            </w:pPr>
          </w:p>
        </w:tc>
      </w:tr>
      <w:tr w14:paraId="5B1F7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5" w:type="dxa"/>
            <w:vAlign w:val="center"/>
          </w:tcPr>
          <w:p w14:paraId="12121D1C">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6330" w:type="dxa"/>
          </w:tcPr>
          <w:p w14:paraId="4D6EDF6C">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评价注射用CN-105肽治疗急性缺血性脑卒中患者安全性和有效性的多中心、随机、双盲、安慰剂对照II期临床研究</w:t>
            </w:r>
          </w:p>
        </w:tc>
        <w:tc>
          <w:tcPr>
            <w:tcW w:w="1410" w:type="dxa"/>
            <w:vAlign w:val="center"/>
          </w:tcPr>
          <w:p w14:paraId="0619496D">
            <w:pPr>
              <w:jc w:val="center"/>
              <w:rPr>
                <w:rFonts w:hint="default" w:ascii="Times New Roman" w:hAnsi="Times New Roman" w:eastAsia="宋体" w:cs="Times New Roman"/>
                <w:sz w:val="24"/>
                <w:szCs w:val="24"/>
                <w:lang w:val="en-US" w:eastAsia="zh-CN"/>
              </w:rPr>
            </w:pPr>
          </w:p>
        </w:tc>
      </w:tr>
      <w:tr w14:paraId="6F92C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5" w:type="dxa"/>
            <w:vAlign w:val="center"/>
          </w:tcPr>
          <w:p w14:paraId="49C6DA05">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6330" w:type="dxa"/>
          </w:tcPr>
          <w:p w14:paraId="036B60C7">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银杏总内酯滴丸治疗缺血性脑卒中（中风病中经络-血瘀证）安全性和有效性的随机、双盲、安慰剂对照、多中心 III 期临床试验</w:t>
            </w:r>
          </w:p>
        </w:tc>
        <w:tc>
          <w:tcPr>
            <w:tcW w:w="1410" w:type="dxa"/>
            <w:vAlign w:val="center"/>
          </w:tcPr>
          <w:p w14:paraId="531EE56D">
            <w:pPr>
              <w:jc w:val="center"/>
              <w:rPr>
                <w:rFonts w:hint="default" w:ascii="Times New Roman" w:hAnsi="Times New Roman" w:eastAsia="宋体" w:cs="Times New Roman"/>
                <w:sz w:val="24"/>
                <w:szCs w:val="24"/>
              </w:rPr>
            </w:pPr>
          </w:p>
        </w:tc>
      </w:tr>
      <w:tr w14:paraId="49208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5" w:type="dxa"/>
            <w:vAlign w:val="center"/>
          </w:tcPr>
          <w:p w14:paraId="2BFCB7D9">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6330" w:type="dxa"/>
          </w:tcPr>
          <w:p w14:paraId="02A01ABC">
            <w:pPr>
              <w:widowControl/>
              <w:spacing w:line="360" w:lineRule="auto"/>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安脑三醇注射液治疗急性缺血性卒中Ⅱa期临床试验——前瞻性、多中心、随机、双盲、安慰剂平行对照研究</w:t>
            </w:r>
          </w:p>
        </w:tc>
        <w:tc>
          <w:tcPr>
            <w:tcW w:w="1410" w:type="dxa"/>
            <w:vAlign w:val="center"/>
          </w:tcPr>
          <w:p w14:paraId="105979D0">
            <w:pPr>
              <w:jc w:val="center"/>
              <w:rPr>
                <w:rFonts w:hint="default" w:ascii="Times New Roman" w:hAnsi="Times New Roman" w:eastAsia="宋体" w:cs="Times New Roman"/>
                <w:sz w:val="24"/>
                <w:szCs w:val="24"/>
              </w:rPr>
            </w:pPr>
          </w:p>
        </w:tc>
      </w:tr>
      <w:tr w14:paraId="41AF6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5E7C65DB">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w:t>
            </w:r>
          </w:p>
        </w:tc>
        <w:tc>
          <w:tcPr>
            <w:tcW w:w="6330" w:type="dxa"/>
          </w:tcPr>
          <w:p w14:paraId="6909B0E7">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验证颅内取栓支架用于治疗急性缺血性脑卒中的安全性和有效性的前瞻性、多中心、随机对照、非劣效性临床试验</w:t>
            </w:r>
          </w:p>
        </w:tc>
        <w:tc>
          <w:tcPr>
            <w:tcW w:w="1410" w:type="dxa"/>
            <w:vAlign w:val="center"/>
          </w:tcPr>
          <w:p w14:paraId="7A2B75E6">
            <w:pPr>
              <w:jc w:val="center"/>
              <w:rPr>
                <w:rFonts w:hint="default" w:ascii="Times New Roman" w:hAnsi="Times New Roman" w:eastAsia="宋体" w:cs="Times New Roman"/>
                <w:sz w:val="24"/>
                <w:szCs w:val="24"/>
              </w:rPr>
            </w:pPr>
          </w:p>
        </w:tc>
      </w:tr>
      <w:tr w14:paraId="06FD6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5FB68019">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6330" w:type="dxa"/>
          </w:tcPr>
          <w:p w14:paraId="09EAAF9F">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一项评估注射用亚胺培南/西司他丁-XNW4107与亚胺培南/西司他丁/瑞来巴坦相比治疗成人医院获得性细菌性肺炎或呼吸机相关细菌性肺炎的有效性和安全性的多中心，随机，双盲，对照的III期临床研究</w:t>
            </w:r>
          </w:p>
        </w:tc>
        <w:tc>
          <w:tcPr>
            <w:tcW w:w="1410" w:type="dxa"/>
            <w:vAlign w:val="center"/>
          </w:tcPr>
          <w:p w14:paraId="2F9FDE05">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入组：6例</w:t>
            </w:r>
          </w:p>
        </w:tc>
      </w:tr>
      <w:tr w14:paraId="53AC5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032444EE">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6330" w:type="dxa"/>
          </w:tcPr>
          <w:p w14:paraId="74876A52">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一项在急性缺血性脑卒中（AIS）受试者中评价注射用LT3001 的安全性和有效性的多中心、随机、双盲、安慰剂平行对照的II 期临床研究</w:t>
            </w:r>
          </w:p>
        </w:tc>
        <w:tc>
          <w:tcPr>
            <w:tcW w:w="1410" w:type="dxa"/>
            <w:vAlign w:val="center"/>
          </w:tcPr>
          <w:p w14:paraId="39AF0B5B">
            <w:pPr>
              <w:jc w:val="center"/>
              <w:rPr>
                <w:rFonts w:hint="default" w:ascii="Times New Roman" w:hAnsi="Times New Roman" w:eastAsia="宋体" w:cs="Times New Roman"/>
                <w:sz w:val="24"/>
                <w:szCs w:val="24"/>
              </w:rPr>
            </w:pPr>
          </w:p>
        </w:tc>
      </w:tr>
      <w:tr w14:paraId="74441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7375478C">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w:t>
            </w:r>
          </w:p>
        </w:tc>
        <w:tc>
          <w:tcPr>
            <w:tcW w:w="6330" w:type="dxa"/>
          </w:tcPr>
          <w:p w14:paraId="0A8F46F0">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一项评价艾地苯醌治疗血管性认知障碍有效 性、安全性的随机、双盲、安慰剂 平行对照研究</w:t>
            </w:r>
          </w:p>
        </w:tc>
        <w:tc>
          <w:tcPr>
            <w:tcW w:w="1410" w:type="dxa"/>
            <w:vAlign w:val="center"/>
          </w:tcPr>
          <w:p w14:paraId="0C5AAA63">
            <w:pPr>
              <w:jc w:val="center"/>
              <w:rPr>
                <w:rFonts w:hint="default" w:ascii="Times New Roman" w:hAnsi="Times New Roman" w:eastAsia="宋体" w:cs="Times New Roman"/>
                <w:sz w:val="24"/>
                <w:szCs w:val="24"/>
              </w:rPr>
            </w:pPr>
          </w:p>
        </w:tc>
      </w:tr>
      <w:tr w14:paraId="31CBA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71E3C4F4">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w:t>
            </w:r>
          </w:p>
        </w:tc>
        <w:tc>
          <w:tcPr>
            <w:tcW w:w="6330" w:type="dxa"/>
          </w:tcPr>
          <w:p w14:paraId="58F905E9">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尤瑞克林治疗急性缺血性卒中合并2型糖尿病的疗效和安全性(TK-SEEK)：一项前瞻性、多中心、随机、双盲、安慰剂平行对照研究</w:t>
            </w:r>
          </w:p>
        </w:tc>
        <w:tc>
          <w:tcPr>
            <w:tcW w:w="1410" w:type="dxa"/>
            <w:vAlign w:val="center"/>
          </w:tcPr>
          <w:p w14:paraId="27DC28C6">
            <w:pPr>
              <w:jc w:val="center"/>
              <w:rPr>
                <w:rFonts w:hint="default" w:ascii="Times New Roman" w:hAnsi="Times New Roman" w:eastAsia="宋体" w:cs="Times New Roman"/>
                <w:sz w:val="24"/>
                <w:szCs w:val="24"/>
              </w:rPr>
            </w:pPr>
          </w:p>
        </w:tc>
      </w:tr>
      <w:tr w14:paraId="5DA9F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577E2A44">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w:t>
            </w:r>
          </w:p>
        </w:tc>
        <w:tc>
          <w:tcPr>
            <w:tcW w:w="6330" w:type="dxa"/>
          </w:tcPr>
          <w:p w14:paraId="4BE1EDD3">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一项评价注射用CN-105肽用于急性缺血性卒中患者溶栓后的安全性和有效性的多中心、随机、盲法、安慰剂对照、剂量探索的II期临床研究</w:t>
            </w:r>
          </w:p>
        </w:tc>
        <w:tc>
          <w:tcPr>
            <w:tcW w:w="1410" w:type="dxa"/>
            <w:vAlign w:val="center"/>
          </w:tcPr>
          <w:p w14:paraId="1BADDB8D">
            <w:pPr>
              <w:jc w:val="center"/>
              <w:rPr>
                <w:rFonts w:hint="default" w:ascii="Times New Roman" w:hAnsi="Times New Roman" w:eastAsia="宋体" w:cs="Times New Roman"/>
                <w:sz w:val="24"/>
                <w:szCs w:val="24"/>
              </w:rPr>
            </w:pPr>
          </w:p>
        </w:tc>
      </w:tr>
      <w:tr w14:paraId="6D5AD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 w:hRule="atLeast"/>
        </w:trPr>
        <w:tc>
          <w:tcPr>
            <w:tcW w:w="1005" w:type="dxa"/>
            <w:vAlign w:val="center"/>
          </w:tcPr>
          <w:p w14:paraId="241ADAC2">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w:t>
            </w:r>
          </w:p>
        </w:tc>
        <w:tc>
          <w:tcPr>
            <w:tcW w:w="6330" w:type="dxa"/>
          </w:tcPr>
          <w:p w14:paraId="513F70EB">
            <w:pPr>
              <w:widowControl/>
              <w:spacing w:line="360" w:lineRule="auto"/>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成功机械取栓后球囊成形术和/或支架置入术治疗颅内动脉粥样硬化性大血管闭塞性卒中：一项多中心、前瞻性、开放标签、终点盲法、随机对照研究</w:t>
            </w:r>
          </w:p>
        </w:tc>
        <w:tc>
          <w:tcPr>
            <w:tcW w:w="1410" w:type="dxa"/>
            <w:vAlign w:val="center"/>
          </w:tcPr>
          <w:p w14:paraId="321FEFD7">
            <w:pPr>
              <w:jc w:val="center"/>
              <w:rPr>
                <w:rFonts w:hint="default" w:ascii="Times New Roman" w:hAnsi="Times New Roman" w:eastAsia="宋体" w:cs="Times New Roman"/>
                <w:sz w:val="24"/>
                <w:szCs w:val="24"/>
              </w:rPr>
            </w:pPr>
          </w:p>
        </w:tc>
      </w:tr>
    </w:tbl>
    <w:p w14:paraId="78A23A84">
      <w:pPr>
        <w:spacing w:line="360" w:lineRule="auto"/>
        <w:jc w:val="left"/>
        <w:rPr>
          <w:rFonts w:hint="default" w:ascii="Times New Roman" w:hAnsi="Times New Roman" w:eastAsia="宋体" w:cs="Times New Roman"/>
          <w:sz w:val="24"/>
          <w:szCs w:val="24"/>
        </w:rPr>
      </w:pPr>
    </w:p>
    <w:sectPr>
      <w:pgSz w:w="11906" w:h="16838"/>
      <w:pgMar w:top="1440" w:right="1797" w:bottom="1440" w:left="179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F1"/>
    <w:rsid w:val="000C4BF1"/>
    <w:rsid w:val="004B6E40"/>
    <w:rsid w:val="0054089B"/>
    <w:rsid w:val="005434C0"/>
    <w:rsid w:val="007F7CEB"/>
    <w:rsid w:val="00B5281A"/>
    <w:rsid w:val="00DB5E69"/>
    <w:rsid w:val="01C8214B"/>
    <w:rsid w:val="054D2E98"/>
    <w:rsid w:val="0695223B"/>
    <w:rsid w:val="0DAE00D1"/>
    <w:rsid w:val="0FA9034D"/>
    <w:rsid w:val="0FCF34D8"/>
    <w:rsid w:val="10463305"/>
    <w:rsid w:val="141D25CF"/>
    <w:rsid w:val="168A3098"/>
    <w:rsid w:val="183A1A4C"/>
    <w:rsid w:val="19CD4FE5"/>
    <w:rsid w:val="1D954D97"/>
    <w:rsid w:val="25F216A8"/>
    <w:rsid w:val="292E39DC"/>
    <w:rsid w:val="34E042BF"/>
    <w:rsid w:val="36AA5AEC"/>
    <w:rsid w:val="36E13B41"/>
    <w:rsid w:val="38B26D33"/>
    <w:rsid w:val="3FAA280B"/>
    <w:rsid w:val="44323F78"/>
    <w:rsid w:val="462140AB"/>
    <w:rsid w:val="488468EB"/>
    <w:rsid w:val="5C7E485A"/>
    <w:rsid w:val="600325B4"/>
    <w:rsid w:val="6127254B"/>
    <w:rsid w:val="63C129F5"/>
    <w:rsid w:val="65AD5108"/>
    <w:rsid w:val="792118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uiPriority w:val="0"/>
    <w:pPr>
      <w:spacing w:beforeAutospacing="1" w:afterAutospacing="1"/>
      <w:jc w:val="left"/>
    </w:pPr>
    <w:rPr>
      <w:rFonts w:cs="Times New Roman"/>
      <w:kern w:val="0"/>
      <w:sz w:val="24"/>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 w:type="table" w:customStyle="1" w:styleId="8">
    <w:name w:val="网格型1"/>
    <w:basedOn w:val="4"/>
    <w:qFormat/>
    <w:uiPriority w:val="3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2185</Words>
  <Characters>2357</Characters>
  <Lines>18</Lines>
  <Paragraphs>5</Paragraphs>
  <TotalTime>59</TotalTime>
  <ScaleCrop>false</ScaleCrop>
  <LinksUpToDate>false</LinksUpToDate>
  <CharactersWithSpaces>2397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2026-01-16T07:23:09Z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F403FFBEE3084C9B8467BCC21C3E2A5A_13</vt:lpwstr>
  </property>
  <property fmtid="{D5CDD505-2E9C-101B-9397-08002B2CF9AE}" pid="4" name="KSOTemplateDocerSaveRecord">
    <vt:lpwstr>eyJoZGlkIjoiOWQ0YWI2NGY4YTdlODYyMzc3ZDI4NDhhMzVhNjBlNjIiLCJ1c2VySWQiOiIzMTM4MTI4NjIifQ==</vt:lpwstr>
  </property>
</Properties>
</file>