
<file path=[Content_Types].xml><?xml version="1.0" encoding="utf-8"?>
<Types xmlns="http://schemas.openxmlformats.org/package/2006/content-types">
  <Default Extension="png" ContentType="image/png"/>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9876629">
      <w:pPr>
        <w:pStyle w:val="2"/>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643" w:firstLineChars="200"/>
        <w:jc w:val="center"/>
        <w:textAlignment w:val="auto"/>
        <w:rPr>
          <w:rFonts w:hint="eastAsia" w:asciiTheme="minorEastAsia" w:hAnsiTheme="minorEastAsia" w:eastAsiaTheme="minorEastAsia" w:cstheme="minorEastAsia"/>
          <w:color w:val="auto"/>
          <w:sz w:val="32"/>
          <w:szCs w:val="32"/>
          <w:lang w:eastAsia="zh-CN"/>
        </w:rPr>
      </w:pPr>
      <w:r>
        <w:rPr>
          <w:rFonts w:hint="eastAsia" w:asciiTheme="minorEastAsia" w:hAnsiTheme="minorEastAsia" w:eastAsiaTheme="minorEastAsia" w:cstheme="minorEastAsia"/>
          <w:color w:val="auto"/>
          <w:sz w:val="32"/>
          <w:szCs w:val="32"/>
          <w:lang w:val="en-US" w:eastAsia="zh-CN"/>
        </w:rPr>
        <w:t>急诊医学科</w:t>
      </w:r>
      <w:bookmarkStart w:id="0" w:name="_GoBack"/>
      <w:bookmarkEnd w:id="0"/>
    </w:p>
    <w:p w14:paraId="24E563F2">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643" w:firstLineChars="200"/>
        <w:jc w:val="center"/>
        <w:textAlignment w:val="auto"/>
        <w:rPr>
          <w:rFonts w:hint="eastAsia" w:asciiTheme="minorEastAsia" w:hAnsiTheme="minorEastAsia" w:eastAsiaTheme="minorEastAsia" w:cstheme="minorEastAsia"/>
          <w:color w:val="auto"/>
          <w:sz w:val="32"/>
          <w:szCs w:val="32"/>
        </w:rPr>
      </w:pPr>
      <w:r>
        <w:rPr>
          <w:rStyle w:val="6"/>
          <w:rFonts w:hint="eastAsia" w:asciiTheme="minorEastAsia" w:hAnsiTheme="minorEastAsia" w:eastAsiaTheme="minorEastAsia" w:cstheme="minorEastAsia"/>
          <w:color w:val="auto"/>
          <w:sz w:val="32"/>
          <w:szCs w:val="32"/>
        </w:rPr>
        <w:t>专业介绍</w:t>
      </w:r>
    </w:p>
    <w:p w14:paraId="37A5EC30">
      <w:pPr>
        <w:keepNext w:val="0"/>
        <w:keepLines w:val="0"/>
        <w:pageBreakBefore w:val="0"/>
        <w:widowControl/>
        <w:kinsoku/>
        <w:wordWrap/>
        <w:overflowPunct/>
        <w:topLinePunct w:val="0"/>
        <w:autoSpaceDE/>
        <w:autoSpaceDN/>
        <w:bidi w:val="0"/>
        <w:adjustRightInd/>
        <w:snapToGrid/>
        <w:spacing w:before="180" w:beforeAutospacing="0" w:afterAutospacing="0" w:line="360" w:lineRule="auto"/>
        <w:ind w:firstLine="480" w:firstLineChars="200"/>
        <w:jc w:val="left"/>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kern w:val="0"/>
          <w:sz w:val="24"/>
          <w:szCs w:val="24"/>
        </w:rPr>
        <w:t>【科室概况】</w:t>
      </w:r>
    </w:p>
    <w:p w14:paraId="77669963">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lang w:val="en-US" w:eastAsia="zh-CN"/>
        </w:rPr>
        <w:t>急诊医学</w:t>
      </w:r>
      <w:r>
        <w:rPr>
          <w:rFonts w:hint="default" w:ascii="Times New Roman" w:hAnsi="Times New Roman" w:cs="Times New Roman" w:eastAsiaTheme="minorEastAsia"/>
          <w:color w:val="auto"/>
          <w:sz w:val="24"/>
          <w:szCs w:val="24"/>
        </w:rPr>
        <w:t>专业是国家级住院医师规范化培训急诊专业基地</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国家急性上消化道出血救治快速通道救治基地</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中国地市级医院急诊专科医联体常务理事单位</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广东省临床重点专科</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国家级胸痛中心</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国家级卒中中心</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广东中毒急救中心湛江分中心</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粤西地区蛇伤防治研究中心</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广东医科大学硕士研究生学位培养点</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湛江市急诊专科联盟牵头单位</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湛江市中毒急救联盟牵头单位</w:t>
      </w:r>
      <w:r>
        <w:rPr>
          <w:rFonts w:hint="default" w:ascii="Times New Roman" w:hAnsi="Times New Roman" w:cs="Times New Roman" w:eastAsiaTheme="minorEastAsia"/>
          <w:color w:val="auto"/>
          <w:sz w:val="24"/>
          <w:szCs w:val="24"/>
          <w:lang w:eastAsia="zh-CN"/>
        </w:rPr>
        <w:t>、</w:t>
      </w:r>
      <w:r>
        <w:rPr>
          <w:rFonts w:hint="default" w:ascii="Times New Roman" w:hAnsi="Times New Roman" w:cs="Times New Roman" w:eastAsiaTheme="minorEastAsia"/>
          <w:color w:val="auto"/>
          <w:sz w:val="24"/>
          <w:szCs w:val="24"/>
        </w:rPr>
        <w:t>湛江市医学会急诊医学分会主委单位。</w:t>
      </w:r>
    </w:p>
    <w:p w14:paraId="715A25AA">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left="0" w:firstLine="480" w:firstLineChars="200"/>
        <w:jc w:val="both"/>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lang w:val="en-US" w:eastAsia="zh-CN"/>
        </w:rPr>
        <w:t>本科</w:t>
      </w:r>
      <w:r>
        <w:rPr>
          <w:rFonts w:hint="eastAsia" w:ascii="Times New Roman" w:hAnsi="Times New Roman" w:cs="Times New Roman"/>
          <w:color w:val="auto"/>
          <w:sz w:val="24"/>
          <w:szCs w:val="24"/>
          <w:lang w:val="en-US" w:eastAsia="zh-CN"/>
        </w:rPr>
        <w:t>室</w:t>
      </w:r>
      <w:r>
        <w:rPr>
          <w:rFonts w:hint="default" w:ascii="Times New Roman" w:hAnsi="Times New Roman" w:cs="Times New Roman" w:eastAsiaTheme="minorEastAsia"/>
          <w:color w:val="auto"/>
          <w:sz w:val="24"/>
          <w:szCs w:val="24"/>
          <w:lang w:val="en-US" w:eastAsia="zh-CN"/>
        </w:rPr>
        <w:t>现业务用房占地约8000平方米，设有院前急救、院内急救。院内急救分急诊内科、外科、儿科，有设备齐全的抢救室、复苏室、急诊手术室、急诊介入室、急诊输液室、留观区、急诊综合病房、急诊重症监护病房（EICU）、急诊CT室、DR室、B超室和急诊药房等。急诊医学科设备齐全，配置有多功能多参数床边中央心电监护系统、心电监护除颤仪、血氧监测仪、有创动脉血压监测仪、快速床旁检测分析仪、电动洗胃机、有创呼吸机、无创呼吸机、持续性血液净化系统、血液灌流机、电子气管镜、振动排痰仪、心肺复苏机、呼吸湿化治疗仪、吸痰机、心电图机、床边超声、ECMO等先进医疗救治设备。现有院前救护车9辆，负压救护车5辆，监护型救护车内配备转运呼吸机、心电监护仪及除颤仪、氧气装置、负压吸引装置等抢救设施。有GCP办公室、受试者接待室、试验用药品储存设施和档案柜，专人负责档案及药物储存管理工作。</w:t>
      </w:r>
    </w:p>
    <w:p w14:paraId="756306DE">
      <w:pPr>
        <w:keepNext w:val="0"/>
        <w:keepLines w:val="0"/>
        <w:pageBreakBefore w:val="0"/>
        <w:numPr>
          <w:ilvl w:val="0"/>
          <w:numId w:val="0"/>
        </w:numPr>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lang w:val="en-US" w:eastAsia="zh-CN"/>
        </w:rPr>
        <w:t>急诊医学科开展心肺脑复苏、电除颤、气管插管、呼吸机应用、支气管镜肺泡灌洗术、血液净化、重症监护、血流动力学监测等急救技术，具备开展ECMO技术能力。熟练抢救心跳呼吸骤停、急性中毒、毒蛇咬伤、多发性复合伤、急性脑卒中、急性左心功能衰竭、急性心肌梗塞、急性呼吸衰竭和各种急危重症，并能应对批量中毒、大型车祸伤、灾害事故等突发公共卫生事件的医疗救护。科室现有抢救病床25张，留观区床位15张，急诊综合病房床位25张，EICU床位25张。年急诊量20万人次左右，住院量约1000人次。该专业设施设备、病床数和患者量等现场条件基本满足临床试验的需要。</w:t>
      </w:r>
    </w:p>
    <w:p w14:paraId="77DCAD31">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rPr>
        <w:t>科室地址：广东省</w:t>
      </w:r>
      <w:r>
        <w:rPr>
          <w:rFonts w:hint="default" w:ascii="Times New Roman" w:hAnsi="Times New Roman" w:cs="Times New Roman" w:eastAsiaTheme="minorEastAsia"/>
          <w:color w:val="auto"/>
          <w:sz w:val="24"/>
          <w:szCs w:val="24"/>
          <w:lang w:val="en-US" w:eastAsia="zh-CN"/>
        </w:rPr>
        <w:t>湛江市赤坎区源珠路湛江中心人民医院5号楼急诊医学科</w:t>
      </w:r>
    </w:p>
    <w:p w14:paraId="1D4C2CE0">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rPr>
        <w:t>专业人员数：</w:t>
      </w:r>
      <w:r>
        <w:rPr>
          <w:rFonts w:hint="default" w:ascii="Times New Roman" w:hAnsi="Times New Roman" w:cs="Times New Roman" w:eastAsiaTheme="minorEastAsia"/>
          <w:color w:val="auto"/>
          <w:sz w:val="24"/>
          <w:szCs w:val="24"/>
          <w:lang w:val="en-US" w:eastAsia="zh-CN"/>
        </w:rPr>
        <w:t>147名</w:t>
      </w:r>
    </w:p>
    <w:p w14:paraId="3152D53A">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rPr>
        <w:t>病床数：</w:t>
      </w:r>
      <w:r>
        <w:rPr>
          <w:rFonts w:hint="default" w:ascii="Times New Roman" w:hAnsi="Times New Roman" w:cs="Times New Roman" w:eastAsiaTheme="minorEastAsia"/>
          <w:color w:val="auto"/>
          <w:sz w:val="24"/>
          <w:szCs w:val="24"/>
          <w:lang w:val="en-US" w:eastAsia="zh-CN"/>
        </w:rPr>
        <w:t>90张</w:t>
      </w:r>
    </w:p>
    <w:p w14:paraId="66C885F7">
      <w:pPr>
        <w:keepNext w:val="0"/>
        <w:keepLines w:val="0"/>
        <w:pageBreakBefore w:val="0"/>
        <w:kinsoku/>
        <w:wordWrap/>
        <w:overflowPunct/>
        <w:topLinePunct w:val="0"/>
        <w:autoSpaceDE/>
        <w:autoSpaceDN/>
        <w:bidi w:val="0"/>
        <w:adjustRightInd/>
        <w:snapToGrid/>
        <w:spacing w:beforeAutospacing="0" w:afterAutospacing="0" w:line="360" w:lineRule="auto"/>
        <w:ind w:firstLine="480" w:firstLineChars="200"/>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rPr>
        <w:t>年</w:t>
      </w:r>
      <w:r>
        <w:rPr>
          <w:rFonts w:hint="default" w:ascii="Times New Roman" w:hAnsi="Times New Roman" w:cs="Times New Roman" w:eastAsiaTheme="minorEastAsia"/>
          <w:color w:val="auto"/>
          <w:sz w:val="24"/>
          <w:szCs w:val="24"/>
          <w:lang w:val="en-US" w:eastAsia="zh-CN"/>
        </w:rPr>
        <w:t>总</w:t>
      </w:r>
      <w:r>
        <w:rPr>
          <w:rFonts w:hint="default" w:ascii="Times New Roman" w:hAnsi="Times New Roman" w:cs="Times New Roman" w:eastAsiaTheme="minorEastAsia"/>
          <w:color w:val="auto"/>
          <w:sz w:val="24"/>
          <w:szCs w:val="24"/>
        </w:rPr>
        <w:t>门诊量：</w:t>
      </w:r>
      <w:r>
        <w:rPr>
          <w:rFonts w:hint="default" w:ascii="Times New Roman" w:hAnsi="Times New Roman" w:cs="Times New Roman" w:eastAsiaTheme="minorEastAsia"/>
          <w:color w:val="auto"/>
          <w:sz w:val="24"/>
          <w:szCs w:val="24"/>
          <w:lang w:val="en-US" w:eastAsia="zh-CN"/>
        </w:rPr>
        <w:t>约20万人次</w:t>
      </w:r>
    </w:p>
    <w:p w14:paraId="1E07E067">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rPr>
        <w:t>联系电话（座机或手机）：</w:t>
      </w:r>
      <w:r>
        <w:rPr>
          <w:rFonts w:hint="default" w:ascii="Times New Roman" w:hAnsi="Times New Roman" w:cs="Times New Roman" w:eastAsiaTheme="minorEastAsia"/>
          <w:color w:val="auto"/>
          <w:sz w:val="24"/>
          <w:szCs w:val="24"/>
          <w:lang w:val="en-US" w:eastAsia="zh-CN"/>
        </w:rPr>
        <w:t>0759-3157231</w:t>
      </w:r>
      <w:r>
        <w:rPr>
          <w:rFonts w:hint="default" w:ascii="Times New Roman" w:hAnsi="Times New Roman" w:cs="Times New Roman" w:eastAsiaTheme="minorEastAsia"/>
          <w:color w:val="auto"/>
          <w:sz w:val="24"/>
          <w:szCs w:val="24"/>
        </w:rPr>
        <w:t xml:space="preserve">  </w:t>
      </w:r>
      <w:r>
        <w:rPr>
          <w:rFonts w:hint="eastAsia" w:ascii="Times New Roman" w:hAnsi="Times New Roman" w:cs="Times New Roman"/>
          <w:color w:val="auto"/>
          <w:sz w:val="24"/>
          <w:szCs w:val="24"/>
          <w:lang w:val="en-US" w:eastAsia="zh-CN"/>
        </w:rPr>
        <w:t xml:space="preserve">  </w:t>
      </w:r>
      <w:r>
        <w:rPr>
          <w:rFonts w:hint="default" w:ascii="Times New Roman" w:hAnsi="Times New Roman" w:cs="Times New Roman" w:eastAsiaTheme="minorEastAsia"/>
          <w:color w:val="auto"/>
          <w:sz w:val="24"/>
          <w:szCs w:val="24"/>
        </w:rPr>
        <w:t>邮箱：</w:t>
      </w:r>
      <w:r>
        <w:rPr>
          <w:rFonts w:hint="default" w:ascii="Times New Roman" w:hAnsi="Times New Roman" w:cs="Times New Roman" w:eastAsiaTheme="minorEastAsia"/>
          <w:color w:val="auto"/>
          <w:sz w:val="24"/>
          <w:szCs w:val="24"/>
          <w:lang w:val="en-US" w:eastAsia="zh-CN"/>
        </w:rPr>
        <w:t>547216857@qq.com</w:t>
      </w:r>
    </w:p>
    <w:p w14:paraId="7DFC26AF">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kern w:val="0"/>
          <w:sz w:val="24"/>
          <w:szCs w:val="24"/>
        </w:rPr>
        <w:t>【技术团队】</w:t>
      </w:r>
    </w:p>
    <w:p w14:paraId="5B292A36">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lang w:val="en-US" w:eastAsia="zh-CN"/>
        </w:rPr>
        <w:t>急诊医学科现有医护人员147名，医师42名，技师1名，护理人员104名，其中高级职称人员14名，中级职称人员52名，主任医师3名，副主任医师6名，主治医师17名，主任护师1名，副主任护师3名，主管护师35名，护师44名，护士21名，硕士研究生8名。学科梯队人员结构合理，创新能力强，技术精湛。</w:t>
      </w:r>
    </w:p>
    <w:p w14:paraId="0F7EA4A4">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kern w:val="0"/>
          <w:sz w:val="24"/>
          <w:szCs w:val="24"/>
        </w:rPr>
        <w:t>【</w:t>
      </w:r>
      <w:r>
        <w:rPr>
          <w:rFonts w:hint="default" w:ascii="Times New Roman" w:hAnsi="Times New Roman" w:cs="Times New Roman" w:eastAsiaTheme="minorEastAsia"/>
          <w:color w:val="auto"/>
          <w:sz w:val="24"/>
          <w:szCs w:val="24"/>
          <w:lang w:val="en-US" w:eastAsia="zh-CN"/>
        </w:rPr>
        <w:t>常见病种</w:t>
      </w:r>
      <w:r>
        <w:rPr>
          <w:rFonts w:hint="default" w:ascii="Times New Roman" w:hAnsi="Times New Roman" w:cs="Times New Roman" w:eastAsiaTheme="minorEastAsia"/>
          <w:color w:val="auto"/>
          <w:kern w:val="0"/>
          <w:sz w:val="24"/>
          <w:szCs w:val="24"/>
        </w:rPr>
        <w:t>】</w:t>
      </w:r>
    </w:p>
    <w:p w14:paraId="69EFBEDE">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lang w:val="en-US" w:eastAsia="zh-CN"/>
        </w:rPr>
        <w:t>急性中毒（含蛇咬伤和各类动物咬伤）：年门诊量约2000人次；</w:t>
      </w:r>
    </w:p>
    <w:p w14:paraId="26D10AA8">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lang w:val="en-US" w:eastAsia="zh-CN"/>
        </w:rPr>
        <w:t>急性呼吸道感染，年门诊量约30000人次；</w:t>
      </w:r>
    </w:p>
    <w:p w14:paraId="423C3C1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both"/>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lang w:val="en-US" w:eastAsia="zh-CN"/>
        </w:rPr>
        <w:t>急腹症：年门诊量约10000人次。</w:t>
      </w:r>
    </w:p>
    <w:p w14:paraId="7E086AB0">
      <w:pPr>
        <w:keepNext w:val="0"/>
        <w:keepLines w:val="0"/>
        <w:pageBreakBefore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kern w:val="0"/>
          <w:sz w:val="24"/>
          <w:szCs w:val="24"/>
        </w:rPr>
        <w:t>【</w:t>
      </w:r>
      <w:r>
        <w:rPr>
          <w:rFonts w:hint="default" w:ascii="Times New Roman" w:hAnsi="Times New Roman" w:cs="Times New Roman" w:eastAsiaTheme="minorEastAsia"/>
          <w:color w:val="auto"/>
          <w:sz w:val="24"/>
          <w:szCs w:val="24"/>
          <w:lang w:val="en-US" w:eastAsia="zh-CN"/>
        </w:rPr>
        <w:t>主要研究者信息</w:t>
      </w:r>
      <w:r>
        <w:rPr>
          <w:rFonts w:hint="default" w:ascii="Times New Roman" w:hAnsi="Times New Roman" w:cs="Times New Roman" w:eastAsiaTheme="minorEastAsia"/>
          <w:color w:val="auto"/>
          <w:kern w:val="0"/>
          <w:sz w:val="24"/>
          <w:szCs w:val="24"/>
        </w:rPr>
        <w:t>】</w:t>
      </w:r>
    </w:p>
    <w:p w14:paraId="6588781B">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jc w:val="center"/>
        <w:textAlignment w:val="auto"/>
        <w:rPr>
          <w:rFonts w:hint="default" w:ascii="Times New Roman" w:hAnsi="Times New Roman" w:cs="Times New Roman" w:eastAsiaTheme="minorEastAsia"/>
          <w:sz w:val="24"/>
          <w:szCs w:val="24"/>
        </w:rPr>
      </w:pPr>
      <w:r>
        <w:rPr>
          <w:rFonts w:hint="default" w:ascii="Times New Roman" w:hAnsi="Times New Roman" w:cs="Times New Roman" w:eastAsiaTheme="minorEastAsia"/>
          <w:sz w:val="24"/>
          <w:szCs w:val="24"/>
        </w:rPr>
        <w:drawing>
          <wp:inline distT="0" distB="0" distL="114300" distR="114300">
            <wp:extent cx="1645285" cy="2306320"/>
            <wp:effectExtent l="0" t="0" r="12065" b="17780"/>
            <wp:docPr id="1026" name="图片 2" descr="F:\个人资料\微信图片_202105081124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图片 2" descr="F:\个人资料\微信图片_20210508112451.jpg"/>
                    <pic:cNvPicPr>
                      <a:picLocks noChangeAspect="1" noChangeArrowheads="1"/>
                    </pic:cNvPicPr>
                  </pic:nvPicPr>
                  <pic:blipFill>
                    <a:blip r:embed="rId4"/>
                    <a:srcRect/>
                    <a:stretch>
                      <a:fillRect/>
                    </a:stretch>
                  </pic:blipFill>
                  <pic:spPr>
                    <a:xfrm>
                      <a:off x="0" y="0"/>
                      <a:ext cx="1645285" cy="2306320"/>
                    </a:xfrm>
                    <a:prstGeom prst="rect">
                      <a:avLst/>
                    </a:prstGeom>
                    <a:noFill/>
                    <a:ln w="9525">
                      <a:noFill/>
                      <a:miter lim="800000"/>
                      <a:headEnd/>
                      <a:tailEnd/>
                    </a:ln>
                  </pic:spPr>
                </pic:pic>
              </a:graphicData>
            </a:graphic>
          </wp:inline>
        </w:drawing>
      </w:r>
    </w:p>
    <w:p w14:paraId="44BE7A8C">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jc w:val="center"/>
        <w:textAlignment w:val="auto"/>
        <w:rPr>
          <w:rStyle w:val="6"/>
          <w:rFonts w:hint="default" w:ascii="Times New Roman" w:hAnsi="Times New Roman" w:cs="Times New Roman" w:eastAsiaTheme="minorEastAsia"/>
          <w:b w:val="0"/>
          <w:bCs/>
          <w:color w:val="auto"/>
          <w:sz w:val="24"/>
          <w:szCs w:val="24"/>
        </w:rPr>
      </w:pPr>
      <w:r>
        <w:rPr>
          <w:rStyle w:val="6"/>
          <w:rFonts w:hint="default" w:ascii="Times New Roman" w:hAnsi="Times New Roman" w:cs="Times New Roman" w:eastAsiaTheme="minorEastAsia"/>
          <w:b w:val="0"/>
          <w:bCs/>
          <w:color w:val="auto"/>
          <w:sz w:val="24"/>
          <w:szCs w:val="24"/>
        </w:rPr>
        <w:t>姓名：</w:t>
      </w:r>
      <w:r>
        <w:rPr>
          <w:rStyle w:val="6"/>
          <w:rFonts w:hint="default" w:ascii="Times New Roman" w:hAnsi="Times New Roman" w:cs="Times New Roman" w:eastAsiaTheme="minorEastAsia"/>
          <w:b w:val="0"/>
          <w:bCs/>
          <w:color w:val="auto"/>
          <w:sz w:val="24"/>
          <w:szCs w:val="24"/>
          <w:lang w:val="en-US" w:eastAsia="zh-CN"/>
        </w:rPr>
        <w:t xml:space="preserve">周宁   </w:t>
      </w:r>
      <w:r>
        <w:rPr>
          <w:rStyle w:val="6"/>
          <w:rFonts w:hint="default" w:ascii="Times New Roman" w:hAnsi="Times New Roman" w:cs="Times New Roman" w:eastAsiaTheme="minorEastAsia"/>
          <w:b w:val="0"/>
          <w:bCs/>
          <w:color w:val="auto"/>
          <w:sz w:val="24"/>
          <w:szCs w:val="24"/>
        </w:rPr>
        <w:t>职务：</w:t>
      </w:r>
      <w:r>
        <w:rPr>
          <w:rStyle w:val="6"/>
          <w:rFonts w:hint="default" w:ascii="Times New Roman" w:hAnsi="Times New Roman" w:cs="Times New Roman" w:eastAsiaTheme="minorEastAsia"/>
          <w:b w:val="0"/>
          <w:bCs/>
          <w:color w:val="auto"/>
          <w:sz w:val="24"/>
          <w:szCs w:val="24"/>
          <w:lang w:val="en-US" w:eastAsia="zh-CN"/>
        </w:rPr>
        <w:t xml:space="preserve">学科带头人   </w:t>
      </w:r>
      <w:r>
        <w:rPr>
          <w:rStyle w:val="6"/>
          <w:rFonts w:hint="default" w:ascii="Times New Roman" w:hAnsi="Times New Roman" w:cs="Times New Roman" w:eastAsiaTheme="minorEastAsia"/>
          <w:b w:val="0"/>
          <w:bCs/>
          <w:color w:val="auto"/>
          <w:sz w:val="24"/>
          <w:szCs w:val="24"/>
        </w:rPr>
        <w:t>职称：主任医师</w:t>
      </w:r>
    </w:p>
    <w:p w14:paraId="3DD949BC">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jc w:val="center"/>
        <w:textAlignment w:val="auto"/>
        <w:rPr>
          <w:rStyle w:val="6"/>
          <w:rFonts w:hint="default" w:ascii="Times New Roman" w:hAnsi="Times New Roman" w:cs="Times New Roman" w:eastAsiaTheme="minorEastAsia"/>
          <w:b w:val="0"/>
          <w:bCs/>
          <w:color w:val="auto"/>
          <w:sz w:val="24"/>
          <w:szCs w:val="24"/>
          <w:lang w:val="en-US" w:eastAsia="zh-CN"/>
        </w:rPr>
      </w:pPr>
      <w:r>
        <w:rPr>
          <w:rStyle w:val="6"/>
          <w:rFonts w:hint="default" w:ascii="Times New Roman" w:hAnsi="Times New Roman" w:cs="Times New Roman" w:eastAsiaTheme="minorEastAsia"/>
          <w:b w:val="0"/>
          <w:bCs/>
          <w:color w:val="auto"/>
          <w:sz w:val="24"/>
          <w:szCs w:val="24"/>
        </w:rPr>
        <w:t>联系电话（座机或手机）：</w:t>
      </w:r>
      <w:r>
        <w:rPr>
          <w:rFonts w:hint="default" w:ascii="Times New Roman" w:hAnsi="Times New Roman" w:cs="Times New Roman" w:eastAsiaTheme="minorEastAsia"/>
          <w:b w:val="0"/>
          <w:bCs/>
          <w:color w:val="auto"/>
          <w:sz w:val="24"/>
          <w:szCs w:val="24"/>
          <w:lang w:val="en-US" w:eastAsia="zh-CN"/>
        </w:rPr>
        <w:t>0759-3157231</w:t>
      </w:r>
      <w:r>
        <w:rPr>
          <w:rStyle w:val="6"/>
          <w:rFonts w:hint="default" w:ascii="Times New Roman" w:hAnsi="Times New Roman" w:cs="Times New Roman" w:eastAsiaTheme="minorEastAsia"/>
          <w:b w:val="0"/>
          <w:bCs/>
          <w:color w:val="auto"/>
          <w:sz w:val="24"/>
          <w:szCs w:val="24"/>
        </w:rPr>
        <w:t>  邮箱：</w:t>
      </w:r>
      <w:r>
        <w:rPr>
          <w:rFonts w:hint="default" w:ascii="Times New Roman" w:hAnsi="Times New Roman" w:cs="Times New Roman" w:eastAsiaTheme="minorEastAsia"/>
          <w:b w:val="0"/>
          <w:bCs/>
          <w:color w:val="auto"/>
          <w:sz w:val="24"/>
          <w:szCs w:val="24"/>
          <w:lang w:val="en-US" w:eastAsia="zh-CN"/>
        </w:rPr>
        <w:t>zjzhou121@163.com</w:t>
      </w:r>
    </w:p>
    <w:p w14:paraId="5A12A02B">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rPr>
        <w:t>个人简介：</w:t>
      </w:r>
      <w:r>
        <w:rPr>
          <w:rFonts w:hint="default" w:ascii="Times New Roman" w:hAnsi="Times New Roman" w:cs="Times New Roman" w:eastAsiaTheme="minorEastAsia"/>
          <w:color w:val="auto"/>
          <w:sz w:val="24"/>
          <w:szCs w:val="24"/>
          <w:lang w:val="en-US" w:eastAsia="zh-CN"/>
        </w:rPr>
        <w:t>博士生导师、国家卫生健康委医疗应急专家组专家、中华医学会急诊医学分会中毒学组委员、中国毒理学会中毒与急救专委会常务委员、广东省三甲医院评审专家、广东省急诊医疗质量控制中心副主任、广东省医学会急诊医学分会常务委员、湛江市医学会急诊分会主任委员、《中华卫生应急电子杂志》编委、《中国毕业后医学教育杂志》编委。</w:t>
      </w:r>
    </w:p>
    <w:p w14:paraId="0DD4FB70">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rPr>
        <w:t>主要研究方向（意向承接试验专业方向或病种）：</w:t>
      </w:r>
      <w:r>
        <w:rPr>
          <w:rFonts w:hint="default" w:ascii="Times New Roman" w:hAnsi="Times New Roman" w:cs="Times New Roman" w:eastAsiaTheme="minorEastAsia"/>
          <w:color w:val="auto"/>
          <w:sz w:val="24"/>
          <w:szCs w:val="24"/>
          <w:lang w:val="en-US" w:eastAsia="zh-CN"/>
        </w:rPr>
        <w:t>中毒、急危重症。</w:t>
      </w:r>
    </w:p>
    <w:p w14:paraId="6A9C269A">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left"/>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kern w:val="0"/>
          <w:sz w:val="24"/>
          <w:szCs w:val="24"/>
        </w:rPr>
        <w:t>【</w:t>
      </w:r>
      <w:r>
        <w:rPr>
          <w:rFonts w:hint="default" w:ascii="Times New Roman" w:hAnsi="Times New Roman" w:cs="Times New Roman" w:eastAsiaTheme="minorEastAsia"/>
          <w:color w:val="auto"/>
          <w:kern w:val="0"/>
          <w:sz w:val="24"/>
          <w:szCs w:val="24"/>
          <w:lang w:val="en-US" w:eastAsia="zh-CN"/>
        </w:rPr>
        <w:t>参与项目</w:t>
      </w:r>
      <w:r>
        <w:rPr>
          <w:rFonts w:hint="default" w:ascii="Times New Roman" w:hAnsi="Times New Roman" w:cs="Times New Roman" w:eastAsiaTheme="minorEastAsia"/>
          <w:color w:val="auto"/>
          <w:kern w:val="0"/>
          <w:sz w:val="24"/>
          <w:szCs w:val="24"/>
        </w:rPr>
        <w:t>】</w:t>
      </w:r>
    </w:p>
    <w:tbl>
      <w:tblPr>
        <w:tblStyle w:val="4"/>
        <w:tblW w:w="8551"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855"/>
        <w:gridCol w:w="6205"/>
        <w:gridCol w:w="1491"/>
      </w:tblGrid>
      <w:tr w14:paraId="16871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825" w:type="dxa"/>
            <w:tcBorders>
              <w:top w:val="single" w:color="auto" w:sz="6" w:space="0"/>
              <w:left w:val="single" w:color="auto" w:sz="6" w:space="0"/>
              <w:bottom w:val="single" w:color="auto" w:sz="6" w:space="0"/>
              <w:right w:val="single" w:color="auto" w:sz="6" w:space="0"/>
            </w:tcBorders>
            <w:shd w:val="clear" w:color="auto" w:fill="auto"/>
            <w:noWrap/>
            <w:tcMar>
              <w:left w:w="105" w:type="dxa"/>
              <w:right w:w="105" w:type="dxa"/>
            </w:tcMar>
            <w:vAlign w:val="center"/>
          </w:tcPr>
          <w:p w14:paraId="60F6CA11">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b/>
                <w:bCs/>
                <w:color w:val="auto"/>
                <w:sz w:val="24"/>
                <w:szCs w:val="24"/>
              </w:rPr>
            </w:pPr>
            <w:r>
              <w:rPr>
                <w:rFonts w:hint="default" w:ascii="Times New Roman" w:hAnsi="Times New Roman" w:cs="Times New Roman" w:eastAsiaTheme="minorEastAsia"/>
                <w:b/>
                <w:bCs/>
                <w:color w:val="auto"/>
                <w:sz w:val="24"/>
                <w:szCs w:val="24"/>
              </w:rPr>
              <w:t>No.</w:t>
            </w:r>
          </w:p>
        </w:tc>
        <w:tc>
          <w:tcPr>
            <w:tcW w:w="6231"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0C470B4">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b/>
                <w:bCs/>
                <w:color w:val="auto"/>
                <w:sz w:val="24"/>
                <w:szCs w:val="24"/>
              </w:rPr>
            </w:pPr>
            <w:r>
              <w:rPr>
                <w:rFonts w:hint="default" w:ascii="Times New Roman" w:hAnsi="Times New Roman" w:cs="Times New Roman" w:eastAsiaTheme="minorEastAsia"/>
                <w:b/>
                <w:bCs/>
                <w:color w:val="auto"/>
                <w:sz w:val="24"/>
                <w:szCs w:val="24"/>
              </w:rPr>
              <w:t>项目名称</w:t>
            </w:r>
          </w:p>
        </w:tc>
        <w:tc>
          <w:tcPr>
            <w:tcW w:w="149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65C548D5">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b/>
                <w:bCs/>
                <w:color w:val="auto"/>
                <w:sz w:val="24"/>
                <w:szCs w:val="24"/>
                <w:lang w:val="en-US" w:eastAsia="zh-CN"/>
              </w:rPr>
            </w:pPr>
            <w:r>
              <w:rPr>
                <w:rFonts w:hint="default" w:ascii="Times New Roman" w:hAnsi="Times New Roman" w:cs="Times New Roman" w:eastAsiaTheme="minorEastAsia"/>
                <w:b/>
                <w:bCs/>
                <w:color w:val="auto"/>
                <w:sz w:val="24"/>
                <w:szCs w:val="24"/>
                <w:lang w:val="en-US" w:eastAsia="zh-CN"/>
              </w:rPr>
              <w:t>备注</w:t>
            </w:r>
          </w:p>
        </w:tc>
      </w:tr>
      <w:tr w14:paraId="581EB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1074" w:hRule="atLeast"/>
          <w:tblCellSpacing w:w="0" w:type="dxa"/>
          <w:jc w:val="center"/>
        </w:trPr>
        <w:tc>
          <w:tcPr>
            <w:tcW w:w="82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48771A86">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1</w:t>
            </w:r>
          </w:p>
        </w:tc>
        <w:tc>
          <w:tcPr>
            <w:tcW w:w="6231" w:type="dxa"/>
            <w:tcBorders>
              <w:top w:val="nil"/>
              <w:left w:val="nil"/>
              <w:bottom w:val="single" w:color="auto" w:sz="6" w:space="0"/>
              <w:right w:val="single" w:color="auto" w:sz="6" w:space="0"/>
            </w:tcBorders>
            <w:shd w:val="clear" w:color="auto" w:fill="auto"/>
            <w:tcMar>
              <w:left w:w="105" w:type="dxa"/>
              <w:right w:w="105" w:type="dxa"/>
            </w:tcMar>
            <w:vAlign w:val="center"/>
          </w:tcPr>
          <w:p w14:paraId="036F8E67">
            <w:pPr>
              <w:pStyle w:val="7"/>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lang w:val="en-US" w:eastAsia="zh-CN"/>
              </w:rPr>
              <w:t>六神胶囊治疗新型冠状病毒感染（疫毒束表证）的随机、双盲、安慰剂平行对照、多中心、Ⅲ期确证性临床试验</w:t>
            </w:r>
          </w:p>
        </w:tc>
        <w:tc>
          <w:tcPr>
            <w:tcW w:w="1495" w:type="dxa"/>
            <w:tcBorders>
              <w:top w:val="nil"/>
              <w:left w:val="nil"/>
              <w:bottom w:val="single" w:color="auto" w:sz="6" w:space="0"/>
              <w:right w:val="single" w:color="auto" w:sz="6" w:space="0"/>
            </w:tcBorders>
            <w:shd w:val="clear" w:color="auto" w:fill="auto"/>
            <w:tcMar>
              <w:left w:w="105" w:type="dxa"/>
              <w:right w:w="105" w:type="dxa"/>
            </w:tcMar>
            <w:vAlign w:val="center"/>
          </w:tcPr>
          <w:p w14:paraId="3D70E303">
            <w:pPr>
              <w:pStyle w:val="7"/>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eastAsiaTheme="minorEastAsia"/>
                <w:color w:val="auto"/>
                <w:sz w:val="24"/>
                <w:szCs w:val="24"/>
                <w:lang w:val="en-US" w:eastAsia="zh-CN"/>
              </w:rPr>
            </w:pPr>
            <w:r>
              <w:rPr>
                <w:rFonts w:hint="eastAsia" w:ascii="Times New Roman" w:hAnsi="Times New Roman" w:cs="Times New Roman" w:eastAsiaTheme="minorEastAsia"/>
                <w:color w:val="auto"/>
                <w:sz w:val="24"/>
                <w:szCs w:val="24"/>
                <w:lang w:val="en-US" w:eastAsia="zh-CN"/>
              </w:rPr>
              <w:t>入组：13例</w:t>
            </w:r>
          </w:p>
        </w:tc>
      </w:tr>
      <w:tr w14:paraId="26ADE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blCellSpacing w:w="0" w:type="dxa"/>
          <w:jc w:val="center"/>
        </w:trPr>
        <w:tc>
          <w:tcPr>
            <w:tcW w:w="82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6CFDD6A0">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2</w:t>
            </w:r>
          </w:p>
        </w:tc>
        <w:tc>
          <w:tcPr>
            <w:tcW w:w="6231" w:type="dxa"/>
            <w:tcBorders>
              <w:top w:val="nil"/>
              <w:left w:val="nil"/>
              <w:bottom w:val="single" w:color="auto" w:sz="6" w:space="0"/>
              <w:right w:val="single" w:color="auto" w:sz="6" w:space="0"/>
            </w:tcBorders>
            <w:shd w:val="clear" w:color="auto" w:fill="auto"/>
            <w:tcMar>
              <w:left w:w="105" w:type="dxa"/>
              <w:right w:w="105" w:type="dxa"/>
            </w:tcMar>
            <w:vAlign w:val="center"/>
          </w:tcPr>
          <w:p w14:paraId="52D789E3">
            <w:pPr>
              <w:pStyle w:val="7"/>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lang w:val="en-US" w:eastAsia="zh-CN"/>
              </w:rPr>
              <w:t>一项多中心、随机、双盲、安慰剂对照Ⅲ期临床研究以评价未接受过抗糖尿病药物治疗的血糖控制不佳的2型糖尿病患者中CJC-1134-PC注射液每周给药1次的有效性和安全性</w:t>
            </w:r>
          </w:p>
        </w:tc>
        <w:tc>
          <w:tcPr>
            <w:tcW w:w="1495" w:type="dxa"/>
            <w:tcBorders>
              <w:top w:val="nil"/>
              <w:left w:val="nil"/>
              <w:bottom w:val="single" w:color="auto" w:sz="6" w:space="0"/>
              <w:right w:val="single" w:color="auto" w:sz="6" w:space="0"/>
            </w:tcBorders>
            <w:shd w:val="clear" w:color="auto" w:fill="auto"/>
            <w:tcMar>
              <w:left w:w="105" w:type="dxa"/>
              <w:right w:w="105" w:type="dxa"/>
            </w:tcMar>
            <w:vAlign w:val="center"/>
          </w:tcPr>
          <w:p w14:paraId="5558F6A3">
            <w:pPr>
              <w:pStyle w:val="7"/>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eastAsiaTheme="minorEastAsia"/>
                <w:color w:val="auto"/>
                <w:sz w:val="24"/>
                <w:szCs w:val="24"/>
                <w:lang w:val="en-US" w:eastAsia="zh-CN"/>
              </w:rPr>
            </w:pPr>
          </w:p>
        </w:tc>
      </w:tr>
      <w:tr w14:paraId="64996D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50" w:hRule="atLeast"/>
          <w:tblCellSpacing w:w="0" w:type="dxa"/>
          <w:jc w:val="center"/>
        </w:trPr>
        <w:tc>
          <w:tcPr>
            <w:tcW w:w="82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0EA8C592">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3</w:t>
            </w:r>
          </w:p>
        </w:tc>
        <w:tc>
          <w:tcPr>
            <w:tcW w:w="6231" w:type="dxa"/>
            <w:tcBorders>
              <w:top w:val="nil"/>
              <w:left w:val="nil"/>
              <w:bottom w:val="single" w:color="auto" w:sz="6" w:space="0"/>
              <w:right w:val="single" w:color="auto" w:sz="6" w:space="0"/>
            </w:tcBorders>
            <w:shd w:val="clear" w:color="auto" w:fill="auto"/>
            <w:tcMar>
              <w:left w:w="105" w:type="dxa"/>
              <w:right w:w="105" w:type="dxa"/>
            </w:tcMar>
            <w:vAlign w:val="center"/>
          </w:tcPr>
          <w:p w14:paraId="72087314">
            <w:pPr>
              <w:pStyle w:val="7"/>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lang w:val="en-US" w:eastAsia="zh-CN"/>
              </w:rPr>
              <w:t>一项多中心、随机、双盲、安慰剂对照Ⅲ期临床研究以评价在接受二甲双胍单药或二甲双胍联合胰岛素促泌剂治疗后血糖控制不佳的2型糖尿病患者中CJC-1134-PC注射液每周给药1次的有效性和安全性</w:t>
            </w:r>
          </w:p>
        </w:tc>
        <w:tc>
          <w:tcPr>
            <w:tcW w:w="1495" w:type="dxa"/>
            <w:tcBorders>
              <w:top w:val="nil"/>
              <w:left w:val="nil"/>
              <w:bottom w:val="single" w:color="auto" w:sz="6" w:space="0"/>
              <w:right w:val="single" w:color="auto" w:sz="6" w:space="0"/>
            </w:tcBorders>
            <w:shd w:val="clear" w:color="auto" w:fill="auto"/>
            <w:tcMar>
              <w:left w:w="105" w:type="dxa"/>
              <w:right w:w="105" w:type="dxa"/>
            </w:tcMar>
            <w:vAlign w:val="center"/>
          </w:tcPr>
          <w:p w14:paraId="18147FF4">
            <w:pPr>
              <w:pStyle w:val="7"/>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eastAsiaTheme="minorEastAsia"/>
                <w:color w:val="auto"/>
                <w:sz w:val="24"/>
                <w:szCs w:val="24"/>
                <w:lang w:val="en-US" w:eastAsia="zh-CN"/>
              </w:rPr>
            </w:pPr>
          </w:p>
        </w:tc>
      </w:tr>
      <w:tr w14:paraId="6E26B83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82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77669CCD">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4</w:t>
            </w:r>
          </w:p>
        </w:tc>
        <w:tc>
          <w:tcPr>
            <w:tcW w:w="6231" w:type="dxa"/>
            <w:tcBorders>
              <w:top w:val="nil"/>
              <w:left w:val="nil"/>
              <w:bottom w:val="single" w:color="auto" w:sz="6" w:space="0"/>
              <w:right w:val="single" w:color="auto" w:sz="6" w:space="0"/>
            </w:tcBorders>
            <w:shd w:val="clear" w:color="auto" w:fill="auto"/>
            <w:tcMar>
              <w:left w:w="105" w:type="dxa"/>
              <w:right w:w="105" w:type="dxa"/>
            </w:tcMar>
            <w:vAlign w:val="center"/>
          </w:tcPr>
          <w:p w14:paraId="565387CE">
            <w:pPr>
              <w:pStyle w:val="7"/>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lang w:val="en-US" w:eastAsia="zh-CN"/>
              </w:rPr>
              <w:t>甲/乙型流感病毒抗原检测试剂盒（胶体金法）临床试验</w:t>
            </w:r>
          </w:p>
        </w:tc>
        <w:tc>
          <w:tcPr>
            <w:tcW w:w="1495" w:type="dxa"/>
            <w:tcBorders>
              <w:top w:val="nil"/>
              <w:left w:val="nil"/>
              <w:bottom w:val="single" w:color="auto" w:sz="6" w:space="0"/>
              <w:right w:val="single" w:color="auto" w:sz="6" w:space="0"/>
            </w:tcBorders>
            <w:shd w:val="clear" w:color="auto" w:fill="auto"/>
            <w:tcMar>
              <w:left w:w="105" w:type="dxa"/>
              <w:right w:w="105" w:type="dxa"/>
            </w:tcMar>
            <w:vAlign w:val="center"/>
          </w:tcPr>
          <w:p w14:paraId="0856B310">
            <w:pPr>
              <w:pStyle w:val="7"/>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eastAsiaTheme="minorEastAsia"/>
                <w:color w:val="auto"/>
                <w:sz w:val="24"/>
                <w:szCs w:val="24"/>
                <w:lang w:val="en-US" w:eastAsia="zh-CN"/>
              </w:rPr>
            </w:pPr>
            <w:r>
              <w:rPr>
                <w:rFonts w:hint="eastAsia" w:ascii="Times New Roman" w:hAnsi="Times New Roman" w:cs="Times New Roman" w:eastAsiaTheme="minorEastAsia"/>
                <w:color w:val="auto"/>
                <w:sz w:val="24"/>
                <w:szCs w:val="24"/>
                <w:lang w:val="en-US" w:eastAsia="zh-CN"/>
              </w:rPr>
              <w:t>入组：75例</w:t>
            </w:r>
          </w:p>
        </w:tc>
      </w:tr>
      <w:tr w14:paraId="36F79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blCellSpacing w:w="0" w:type="dxa"/>
          <w:jc w:val="center"/>
        </w:trPr>
        <w:tc>
          <w:tcPr>
            <w:tcW w:w="82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06E11FFF">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5</w:t>
            </w:r>
          </w:p>
        </w:tc>
        <w:tc>
          <w:tcPr>
            <w:tcW w:w="6231" w:type="dxa"/>
            <w:tcBorders>
              <w:top w:val="nil"/>
              <w:left w:val="nil"/>
              <w:bottom w:val="single" w:color="auto" w:sz="6" w:space="0"/>
              <w:right w:val="single" w:color="auto" w:sz="6" w:space="0"/>
            </w:tcBorders>
            <w:shd w:val="clear" w:color="auto" w:fill="auto"/>
            <w:tcMar>
              <w:left w:w="105" w:type="dxa"/>
              <w:right w:w="105" w:type="dxa"/>
            </w:tcMar>
            <w:vAlign w:val="center"/>
          </w:tcPr>
          <w:p w14:paraId="66E0E09A">
            <w:pPr>
              <w:pStyle w:val="7"/>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眼镜蛇毒检测试剂(胶体金免疫层析法)临床试验</w:t>
            </w:r>
          </w:p>
        </w:tc>
        <w:tc>
          <w:tcPr>
            <w:tcW w:w="1495" w:type="dxa"/>
            <w:tcBorders>
              <w:top w:val="nil"/>
              <w:left w:val="nil"/>
              <w:bottom w:val="single" w:color="auto" w:sz="6" w:space="0"/>
              <w:right w:val="single" w:color="auto" w:sz="6" w:space="0"/>
            </w:tcBorders>
            <w:shd w:val="clear" w:color="auto" w:fill="auto"/>
            <w:tcMar>
              <w:left w:w="105" w:type="dxa"/>
              <w:right w:w="105" w:type="dxa"/>
            </w:tcMar>
            <w:vAlign w:val="center"/>
          </w:tcPr>
          <w:p w14:paraId="7C785D75">
            <w:pPr>
              <w:pStyle w:val="7"/>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eastAsiaTheme="minorEastAsia"/>
                <w:color w:val="auto"/>
                <w:sz w:val="24"/>
                <w:szCs w:val="24"/>
              </w:rPr>
            </w:pPr>
          </w:p>
        </w:tc>
      </w:tr>
      <w:tr w14:paraId="1AE21E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95" w:hRule="atLeast"/>
          <w:tblCellSpacing w:w="0" w:type="dxa"/>
          <w:jc w:val="center"/>
        </w:trPr>
        <w:tc>
          <w:tcPr>
            <w:tcW w:w="825"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3C1E338">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6</w:t>
            </w:r>
          </w:p>
        </w:tc>
        <w:tc>
          <w:tcPr>
            <w:tcW w:w="6231" w:type="dxa"/>
            <w:tcBorders>
              <w:top w:val="nil"/>
              <w:left w:val="nil"/>
              <w:bottom w:val="single" w:color="auto" w:sz="6" w:space="0"/>
              <w:right w:val="single" w:color="auto" w:sz="6" w:space="0"/>
            </w:tcBorders>
            <w:shd w:val="clear" w:color="auto" w:fill="auto"/>
            <w:tcMar>
              <w:left w:w="105" w:type="dxa"/>
              <w:right w:w="105" w:type="dxa"/>
            </w:tcMar>
            <w:vAlign w:val="center"/>
          </w:tcPr>
          <w:p w14:paraId="3475AADA">
            <w:pPr>
              <w:pStyle w:val="7"/>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探索连翘苷胶囊（KD-1 胶囊）在成人无并发症的急性流行性感冒受试者中有效性、安全性的多中心、随机、双盲、安慰剂对照的 IIb 期临床研究</w:t>
            </w:r>
          </w:p>
        </w:tc>
        <w:tc>
          <w:tcPr>
            <w:tcW w:w="1495" w:type="dxa"/>
            <w:tcBorders>
              <w:top w:val="nil"/>
              <w:left w:val="nil"/>
              <w:bottom w:val="single" w:color="auto" w:sz="6" w:space="0"/>
              <w:right w:val="single" w:color="auto" w:sz="6" w:space="0"/>
            </w:tcBorders>
            <w:shd w:val="clear" w:color="auto" w:fill="auto"/>
            <w:tcMar>
              <w:left w:w="105" w:type="dxa"/>
              <w:right w:w="105" w:type="dxa"/>
            </w:tcMar>
            <w:vAlign w:val="center"/>
          </w:tcPr>
          <w:p w14:paraId="6105A727">
            <w:pPr>
              <w:pStyle w:val="7"/>
              <w:keepNext w:val="0"/>
              <w:keepLines w:val="0"/>
              <w:pageBreakBefore w:val="0"/>
              <w:kinsoku/>
              <w:wordWrap/>
              <w:overflowPunct/>
              <w:topLinePunct w:val="0"/>
              <w:autoSpaceDE/>
              <w:autoSpaceDN/>
              <w:bidi w:val="0"/>
              <w:adjustRightInd/>
              <w:snapToGrid/>
              <w:spacing w:line="360" w:lineRule="auto"/>
              <w:jc w:val="center"/>
              <w:textAlignment w:val="auto"/>
              <w:rPr>
                <w:rFonts w:hint="default" w:ascii="Times New Roman" w:hAnsi="Times New Roman" w:cs="Times New Roman" w:eastAsiaTheme="minorEastAsia"/>
                <w:color w:val="auto"/>
                <w:sz w:val="24"/>
                <w:szCs w:val="24"/>
              </w:rPr>
            </w:pPr>
          </w:p>
        </w:tc>
      </w:tr>
    </w:tbl>
    <w:p w14:paraId="638D284A">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jc w:val="both"/>
        <w:textAlignment w:val="auto"/>
        <w:rPr>
          <w:rFonts w:hint="default" w:ascii="Times New Roman" w:hAnsi="Times New Roman" w:cs="Times New Roman" w:eastAsiaTheme="minorEastAsia"/>
          <w:color w:val="auto"/>
          <w:sz w:val="24"/>
          <w:szCs w:val="24"/>
          <w:lang w:val="en-US" w:eastAsia="zh-CN"/>
        </w:rPr>
      </w:pPr>
    </w:p>
    <w:p w14:paraId="53092BAF">
      <w:pPr>
        <w:pStyle w:val="3"/>
        <w:keepNext w:val="0"/>
        <w:keepLines w:val="0"/>
        <w:widowControl/>
        <w:suppressLineNumbers w:val="0"/>
        <w:jc w:val="center"/>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lang w:val="en-US" w:eastAsia="zh-CN"/>
        </w:rPr>
        <w:drawing>
          <wp:inline distT="0" distB="0" distL="114300" distR="114300">
            <wp:extent cx="1464945" cy="2052320"/>
            <wp:effectExtent l="0" t="0" r="1905" b="5080"/>
            <wp:docPr id="1" name="图片 1" descr="陈粤明证件照2022高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陈粤明证件照2022高清"/>
                    <pic:cNvPicPr>
                      <a:picLocks noChangeAspect="1"/>
                    </pic:cNvPicPr>
                  </pic:nvPicPr>
                  <pic:blipFill>
                    <a:blip r:embed="rId5"/>
                    <a:stretch>
                      <a:fillRect/>
                    </a:stretch>
                  </pic:blipFill>
                  <pic:spPr>
                    <a:xfrm>
                      <a:off x="0" y="0"/>
                      <a:ext cx="1464945" cy="2052320"/>
                    </a:xfrm>
                    <a:prstGeom prst="rect">
                      <a:avLst/>
                    </a:prstGeom>
                  </pic:spPr>
                </pic:pic>
              </a:graphicData>
            </a:graphic>
          </wp:inline>
        </w:drawing>
      </w:r>
    </w:p>
    <w:p w14:paraId="5E356395">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jc w:val="center"/>
        <w:textAlignment w:val="auto"/>
        <w:rPr>
          <w:rFonts w:hint="default" w:ascii="Times New Roman" w:hAnsi="Times New Roman" w:cs="Times New Roman" w:eastAsiaTheme="minorEastAsia"/>
          <w:b w:val="0"/>
          <w:bCs/>
          <w:color w:val="auto"/>
          <w:sz w:val="24"/>
          <w:szCs w:val="24"/>
        </w:rPr>
      </w:pPr>
      <w:r>
        <w:rPr>
          <w:rStyle w:val="6"/>
          <w:rFonts w:hint="default" w:ascii="Times New Roman" w:hAnsi="Times New Roman" w:cs="Times New Roman" w:eastAsiaTheme="minorEastAsia"/>
          <w:b w:val="0"/>
          <w:bCs/>
          <w:color w:val="auto"/>
          <w:sz w:val="24"/>
          <w:szCs w:val="24"/>
        </w:rPr>
        <w:t>姓名：</w:t>
      </w:r>
      <w:r>
        <w:rPr>
          <w:rStyle w:val="6"/>
          <w:rFonts w:hint="default" w:ascii="Times New Roman" w:hAnsi="Times New Roman" w:cs="Times New Roman" w:eastAsiaTheme="minorEastAsia"/>
          <w:b w:val="0"/>
          <w:bCs/>
          <w:color w:val="auto"/>
          <w:sz w:val="24"/>
          <w:szCs w:val="24"/>
          <w:lang w:val="en-US" w:eastAsia="zh-CN"/>
        </w:rPr>
        <w:t xml:space="preserve">陈粤明   </w:t>
      </w:r>
      <w:r>
        <w:rPr>
          <w:rStyle w:val="6"/>
          <w:rFonts w:hint="default" w:ascii="Times New Roman" w:hAnsi="Times New Roman" w:cs="Times New Roman" w:eastAsiaTheme="minorEastAsia"/>
          <w:b w:val="0"/>
          <w:bCs/>
          <w:color w:val="auto"/>
          <w:sz w:val="24"/>
          <w:szCs w:val="24"/>
        </w:rPr>
        <w:t>职务： 科室主任</w:t>
      </w:r>
      <w:r>
        <w:rPr>
          <w:rStyle w:val="6"/>
          <w:rFonts w:hint="default" w:ascii="Times New Roman" w:hAnsi="Times New Roman" w:cs="Times New Roman" w:eastAsiaTheme="minorEastAsia"/>
          <w:b w:val="0"/>
          <w:bCs/>
          <w:color w:val="auto"/>
          <w:sz w:val="24"/>
          <w:szCs w:val="24"/>
          <w:lang w:val="en-US" w:eastAsia="zh-CN"/>
        </w:rPr>
        <w:t xml:space="preserve">   </w:t>
      </w:r>
      <w:r>
        <w:rPr>
          <w:rStyle w:val="6"/>
          <w:rFonts w:hint="default" w:ascii="Times New Roman" w:hAnsi="Times New Roman" w:cs="Times New Roman" w:eastAsiaTheme="minorEastAsia"/>
          <w:b w:val="0"/>
          <w:bCs/>
          <w:color w:val="auto"/>
          <w:sz w:val="24"/>
          <w:szCs w:val="24"/>
        </w:rPr>
        <w:t>职称： 主任医师</w:t>
      </w:r>
    </w:p>
    <w:p w14:paraId="5A757AFE">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480" w:firstLineChars="200"/>
        <w:jc w:val="center"/>
        <w:textAlignment w:val="auto"/>
        <w:rPr>
          <w:rFonts w:hint="default" w:ascii="Times New Roman" w:hAnsi="Times New Roman" w:cs="Times New Roman" w:eastAsiaTheme="minorEastAsia"/>
          <w:b w:val="0"/>
          <w:bCs/>
          <w:color w:val="auto"/>
          <w:sz w:val="24"/>
          <w:szCs w:val="24"/>
        </w:rPr>
      </w:pPr>
      <w:r>
        <w:rPr>
          <w:rStyle w:val="6"/>
          <w:rFonts w:hint="default" w:ascii="Times New Roman" w:hAnsi="Times New Roman" w:cs="Times New Roman" w:eastAsiaTheme="minorEastAsia"/>
          <w:b w:val="0"/>
          <w:bCs/>
          <w:color w:val="auto"/>
          <w:sz w:val="24"/>
          <w:szCs w:val="24"/>
        </w:rPr>
        <w:t>联系电话（座机或手机）：</w:t>
      </w:r>
      <w:r>
        <w:rPr>
          <w:rFonts w:hint="default" w:ascii="Times New Roman" w:hAnsi="Times New Roman" w:cs="Times New Roman" w:eastAsiaTheme="minorEastAsia"/>
          <w:b w:val="0"/>
          <w:bCs/>
          <w:color w:val="auto"/>
          <w:sz w:val="24"/>
          <w:szCs w:val="24"/>
          <w:lang w:val="en-US" w:eastAsia="zh-CN"/>
        </w:rPr>
        <w:t>0759-3157737</w:t>
      </w:r>
      <w:r>
        <w:rPr>
          <w:rStyle w:val="6"/>
          <w:rFonts w:hint="default" w:ascii="Times New Roman" w:hAnsi="Times New Roman" w:cs="Times New Roman" w:eastAsiaTheme="minorEastAsia"/>
          <w:b w:val="0"/>
          <w:bCs/>
          <w:color w:val="auto"/>
          <w:sz w:val="24"/>
          <w:szCs w:val="24"/>
        </w:rPr>
        <w:t>  邮箱：</w:t>
      </w:r>
      <w:r>
        <w:rPr>
          <w:rFonts w:hint="default" w:ascii="Times New Roman" w:hAnsi="Times New Roman" w:cs="Times New Roman" w:eastAsiaTheme="minorEastAsia"/>
          <w:b w:val="0"/>
          <w:bCs/>
          <w:color w:val="auto"/>
          <w:sz w:val="24"/>
          <w:szCs w:val="24"/>
          <w:lang w:val="en-US" w:eastAsia="zh-CN"/>
        </w:rPr>
        <w:t>547216857@qq.com</w:t>
      </w:r>
    </w:p>
    <w:p w14:paraId="12D9D8E0">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个人简介：</w:t>
      </w:r>
      <w:r>
        <w:rPr>
          <w:rFonts w:hint="default" w:ascii="Times New Roman" w:hAnsi="Times New Roman" w:cs="Times New Roman" w:eastAsiaTheme="minorEastAsia"/>
          <w:color w:val="auto"/>
          <w:sz w:val="24"/>
          <w:szCs w:val="24"/>
          <w:lang w:val="en-US" w:eastAsia="zh-CN"/>
        </w:rPr>
        <w:t>中国医师协会中西医结合医师分会急救医学专业委员会委员、中国医药教育协会蛇伤防治专业委员会委员、广东省医院协会门急诊管理专业委员会副主任委员、广东省基层医药学会急诊医学委员会副主任委员、湛江市医院协会第三届门急诊管理委员会主任委员、湛江市医学会急诊医学分会候任主任委员。</w:t>
      </w:r>
    </w:p>
    <w:p w14:paraId="7B6F2027">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rPr>
        <w:t>主要研究方向（意向承接试验专业方向或病种）：</w:t>
      </w:r>
      <w:r>
        <w:rPr>
          <w:rFonts w:hint="default" w:ascii="Times New Roman" w:hAnsi="Times New Roman" w:cs="Times New Roman" w:eastAsiaTheme="minorEastAsia"/>
          <w:color w:val="auto"/>
          <w:sz w:val="24"/>
          <w:szCs w:val="24"/>
          <w:lang w:val="en-US" w:eastAsia="zh-CN"/>
        </w:rPr>
        <w:t>中毒、急危重症。</w:t>
      </w:r>
    </w:p>
    <w:p w14:paraId="4B2EBBFE">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left"/>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kern w:val="0"/>
          <w:sz w:val="24"/>
          <w:szCs w:val="24"/>
        </w:rPr>
        <w:t>【</w:t>
      </w:r>
      <w:r>
        <w:rPr>
          <w:rFonts w:hint="default" w:ascii="Times New Roman" w:hAnsi="Times New Roman" w:cs="Times New Roman" w:eastAsiaTheme="minorEastAsia"/>
          <w:color w:val="auto"/>
          <w:kern w:val="0"/>
          <w:sz w:val="24"/>
          <w:szCs w:val="24"/>
          <w:lang w:val="en-US" w:eastAsia="zh-CN"/>
        </w:rPr>
        <w:t>参与项目</w:t>
      </w:r>
      <w:r>
        <w:rPr>
          <w:rFonts w:hint="default" w:ascii="Times New Roman" w:hAnsi="Times New Roman" w:cs="Times New Roman" w:eastAsiaTheme="minorEastAsia"/>
          <w:color w:val="auto"/>
          <w:kern w:val="0"/>
          <w:sz w:val="24"/>
          <w:szCs w:val="24"/>
        </w:rPr>
        <w:t>】</w:t>
      </w:r>
    </w:p>
    <w:tbl>
      <w:tblPr>
        <w:tblStyle w:val="4"/>
        <w:tblW w:w="8551"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51"/>
        <w:gridCol w:w="5971"/>
        <w:gridCol w:w="1529"/>
      </w:tblGrid>
      <w:tr w14:paraId="4CCDD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blCellSpacing w:w="0" w:type="dxa"/>
          <w:jc w:val="center"/>
        </w:trPr>
        <w:tc>
          <w:tcPr>
            <w:tcW w:w="1021" w:type="dxa"/>
            <w:tcBorders>
              <w:top w:val="single" w:color="auto" w:sz="6" w:space="0"/>
              <w:left w:val="single" w:color="auto" w:sz="6" w:space="0"/>
              <w:bottom w:val="single" w:color="auto" w:sz="6" w:space="0"/>
              <w:right w:val="single" w:color="auto" w:sz="6" w:space="0"/>
            </w:tcBorders>
            <w:shd w:val="clear" w:color="auto" w:fill="auto"/>
            <w:noWrap/>
            <w:tcMar>
              <w:left w:w="105" w:type="dxa"/>
              <w:right w:w="105" w:type="dxa"/>
            </w:tcMar>
            <w:vAlign w:val="center"/>
          </w:tcPr>
          <w:p w14:paraId="4C260A21">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b/>
                <w:bCs/>
                <w:color w:val="auto"/>
                <w:sz w:val="24"/>
                <w:szCs w:val="24"/>
              </w:rPr>
            </w:pPr>
            <w:r>
              <w:rPr>
                <w:rFonts w:hint="default" w:ascii="Times New Roman" w:hAnsi="Times New Roman" w:cs="Times New Roman" w:eastAsiaTheme="minorEastAsia"/>
                <w:b/>
                <w:bCs/>
                <w:color w:val="auto"/>
                <w:sz w:val="24"/>
                <w:szCs w:val="24"/>
              </w:rPr>
              <w:t>No.</w:t>
            </w:r>
          </w:p>
        </w:tc>
        <w:tc>
          <w:tcPr>
            <w:tcW w:w="599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6FAD5784">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b/>
                <w:bCs/>
                <w:color w:val="auto"/>
                <w:sz w:val="24"/>
                <w:szCs w:val="24"/>
              </w:rPr>
            </w:pPr>
            <w:r>
              <w:rPr>
                <w:rFonts w:hint="default" w:ascii="Times New Roman" w:hAnsi="Times New Roman" w:cs="Times New Roman" w:eastAsiaTheme="minorEastAsia"/>
                <w:b/>
                <w:bCs/>
                <w:color w:val="auto"/>
                <w:sz w:val="24"/>
                <w:szCs w:val="24"/>
              </w:rPr>
              <w:t>项目名称</w:t>
            </w:r>
          </w:p>
        </w:tc>
        <w:tc>
          <w:tcPr>
            <w:tcW w:w="1535"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02527F94">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b/>
                <w:bCs/>
                <w:color w:val="auto"/>
                <w:sz w:val="24"/>
                <w:szCs w:val="24"/>
                <w:lang w:val="en-US" w:eastAsia="zh-CN"/>
              </w:rPr>
            </w:pPr>
            <w:r>
              <w:rPr>
                <w:rFonts w:hint="default" w:ascii="Times New Roman" w:hAnsi="Times New Roman" w:cs="Times New Roman" w:eastAsiaTheme="minorEastAsia"/>
                <w:b/>
                <w:bCs/>
                <w:color w:val="auto"/>
                <w:sz w:val="24"/>
                <w:szCs w:val="24"/>
                <w:lang w:val="en-US" w:eastAsia="zh-CN"/>
              </w:rPr>
              <w:t>备注</w:t>
            </w:r>
          </w:p>
        </w:tc>
      </w:tr>
      <w:tr w14:paraId="6DAB09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blCellSpacing w:w="0" w:type="dxa"/>
          <w:jc w:val="center"/>
        </w:trPr>
        <w:tc>
          <w:tcPr>
            <w:tcW w:w="1021"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6BDA3FCB">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1</w:t>
            </w:r>
          </w:p>
        </w:tc>
        <w:tc>
          <w:tcPr>
            <w:tcW w:w="5995" w:type="dxa"/>
            <w:tcBorders>
              <w:top w:val="nil"/>
              <w:left w:val="nil"/>
              <w:bottom w:val="single" w:color="auto" w:sz="6" w:space="0"/>
              <w:right w:val="single" w:color="auto" w:sz="6" w:space="0"/>
            </w:tcBorders>
            <w:shd w:val="clear" w:color="auto" w:fill="auto"/>
            <w:tcMar>
              <w:left w:w="105" w:type="dxa"/>
              <w:right w:w="105" w:type="dxa"/>
            </w:tcMar>
            <w:vAlign w:val="top"/>
          </w:tcPr>
          <w:p w14:paraId="324583CE">
            <w:pPr>
              <w:pStyle w:val="7"/>
              <w:spacing w:line="360" w:lineRule="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lang w:val="en-US" w:eastAsia="zh-CN"/>
              </w:rPr>
              <w:t>一项评价注射用 CN-105 肽用于急性幕上脑出血患者的安全性和有效性的多中心、随机、盲法、安慰剂对照、剂量探索的 II 期临床研究</w:t>
            </w:r>
          </w:p>
        </w:tc>
        <w:tc>
          <w:tcPr>
            <w:tcW w:w="1535" w:type="dxa"/>
            <w:tcBorders>
              <w:top w:val="nil"/>
              <w:left w:val="nil"/>
              <w:bottom w:val="single" w:color="auto" w:sz="6" w:space="0"/>
              <w:right w:val="single" w:color="auto" w:sz="6" w:space="0"/>
            </w:tcBorders>
            <w:shd w:val="clear" w:color="auto" w:fill="auto"/>
            <w:tcMar>
              <w:left w:w="105" w:type="dxa"/>
              <w:right w:w="105" w:type="dxa"/>
            </w:tcMar>
            <w:vAlign w:val="top"/>
          </w:tcPr>
          <w:p w14:paraId="7562B113">
            <w:pPr>
              <w:pStyle w:val="7"/>
              <w:spacing w:line="360" w:lineRule="auto"/>
              <w:rPr>
                <w:rFonts w:hint="default" w:ascii="Times New Roman" w:hAnsi="Times New Roman" w:cs="Times New Roman" w:eastAsiaTheme="minorEastAsia"/>
                <w:color w:val="auto"/>
                <w:sz w:val="24"/>
                <w:szCs w:val="24"/>
                <w:lang w:val="en-US" w:eastAsia="zh-CN"/>
              </w:rPr>
            </w:pPr>
          </w:p>
        </w:tc>
      </w:tr>
      <w:tr w14:paraId="1330D9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10" w:hRule="atLeast"/>
          <w:tblCellSpacing w:w="0" w:type="dxa"/>
          <w:jc w:val="center"/>
        </w:trPr>
        <w:tc>
          <w:tcPr>
            <w:tcW w:w="1021"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BE7025F">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2</w:t>
            </w:r>
          </w:p>
        </w:tc>
        <w:tc>
          <w:tcPr>
            <w:tcW w:w="5995" w:type="dxa"/>
            <w:tcBorders>
              <w:top w:val="nil"/>
              <w:left w:val="nil"/>
              <w:bottom w:val="single" w:color="auto" w:sz="6" w:space="0"/>
              <w:right w:val="single" w:color="auto" w:sz="6" w:space="0"/>
            </w:tcBorders>
            <w:shd w:val="clear" w:color="auto" w:fill="auto"/>
            <w:tcMar>
              <w:left w:w="105" w:type="dxa"/>
              <w:right w:w="105" w:type="dxa"/>
            </w:tcMar>
            <w:vAlign w:val="top"/>
          </w:tcPr>
          <w:p w14:paraId="07F7E8E3">
            <w:pPr>
              <w:pStyle w:val="7"/>
              <w:spacing w:line="360" w:lineRule="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lang w:val="en-US" w:eastAsia="zh-CN"/>
              </w:rPr>
              <w:t>评价 SYH2055 片在 COVID-19 伴高危因素成年患者中有效性和安全性的多中心、随机、双盲、安慰剂对照 IⅡ期临床试验</w:t>
            </w:r>
          </w:p>
        </w:tc>
        <w:tc>
          <w:tcPr>
            <w:tcW w:w="1535" w:type="dxa"/>
            <w:tcBorders>
              <w:top w:val="nil"/>
              <w:left w:val="nil"/>
              <w:bottom w:val="single" w:color="auto" w:sz="6" w:space="0"/>
              <w:right w:val="single" w:color="auto" w:sz="6" w:space="0"/>
            </w:tcBorders>
            <w:shd w:val="clear" w:color="auto" w:fill="auto"/>
            <w:tcMar>
              <w:left w:w="105" w:type="dxa"/>
              <w:right w:w="105" w:type="dxa"/>
            </w:tcMar>
            <w:vAlign w:val="top"/>
          </w:tcPr>
          <w:p w14:paraId="6262F719">
            <w:pPr>
              <w:pStyle w:val="7"/>
              <w:spacing w:line="360" w:lineRule="auto"/>
              <w:rPr>
                <w:rFonts w:hint="default" w:ascii="Times New Roman" w:hAnsi="Times New Roman" w:cs="Times New Roman" w:eastAsiaTheme="minorEastAsia"/>
                <w:color w:val="auto"/>
                <w:sz w:val="24"/>
                <w:szCs w:val="24"/>
                <w:lang w:val="en-US" w:eastAsia="zh-CN"/>
              </w:rPr>
            </w:pPr>
          </w:p>
        </w:tc>
      </w:tr>
      <w:tr w14:paraId="5DFEB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50" w:hRule="atLeast"/>
          <w:tblCellSpacing w:w="0" w:type="dxa"/>
          <w:jc w:val="center"/>
        </w:trPr>
        <w:tc>
          <w:tcPr>
            <w:tcW w:w="1021"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05F94123">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3</w:t>
            </w:r>
          </w:p>
        </w:tc>
        <w:tc>
          <w:tcPr>
            <w:tcW w:w="5995" w:type="dxa"/>
            <w:tcBorders>
              <w:top w:val="nil"/>
              <w:left w:val="nil"/>
              <w:bottom w:val="single" w:color="auto" w:sz="6" w:space="0"/>
              <w:right w:val="single" w:color="auto" w:sz="6" w:space="0"/>
            </w:tcBorders>
            <w:shd w:val="clear" w:color="auto" w:fill="auto"/>
            <w:tcMar>
              <w:left w:w="105" w:type="dxa"/>
              <w:right w:w="105" w:type="dxa"/>
            </w:tcMar>
            <w:vAlign w:val="top"/>
          </w:tcPr>
          <w:p w14:paraId="15066046">
            <w:pPr>
              <w:pStyle w:val="7"/>
              <w:spacing w:line="360" w:lineRule="auto"/>
              <w:jc w:val="center"/>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lang w:val="en-US" w:eastAsia="zh-CN"/>
              </w:rPr>
              <w:t>六神胶囊治疗新型冠状病毒感染（疫毒束表证）的随机、双盲、安慰剂平行对照、多中心、Ⅱ期探索性临床试验-雷允上药业集团有限公司</w:t>
            </w:r>
          </w:p>
        </w:tc>
        <w:tc>
          <w:tcPr>
            <w:tcW w:w="1535" w:type="dxa"/>
            <w:tcBorders>
              <w:top w:val="nil"/>
              <w:left w:val="nil"/>
              <w:bottom w:val="single" w:color="auto" w:sz="6" w:space="0"/>
              <w:right w:val="single" w:color="auto" w:sz="6" w:space="0"/>
            </w:tcBorders>
            <w:shd w:val="clear" w:color="auto" w:fill="auto"/>
            <w:tcMar>
              <w:left w:w="105" w:type="dxa"/>
              <w:right w:w="105" w:type="dxa"/>
            </w:tcMar>
            <w:vAlign w:val="top"/>
          </w:tcPr>
          <w:p w14:paraId="79FE1ECC">
            <w:pPr>
              <w:pStyle w:val="7"/>
              <w:spacing w:line="360" w:lineRule="auto"/>
              <w:jc w:val="center"/>
              <w:rPr>
                <w:rFonts w:hint="eastAsia" w:ascii="Times New Roman" w:hAnsi="Times New Roman" w:cs="Times New Roman" w:eastAsiaTheme="minorEastAsia"/>
                <w:color w:val="auto"/>
                <w:sz w:val="24"/>
                <w:szCs w:val="24"/>
                <w:lang w:val="en-US" w:eastAsia="zh-CN"/>
              </w:rPr>
            </w:pPr>
          </w:p>
          <w:p w14:paraId="7BEA51DD">
            <w:pPr>
              <w:pStyle w:val="7"/>
              <w:spacing w:line="360" w:lineRule="auto"/>
              <w:jc w:val="center"/>
              <w:rPr>
                <w:rFonts w:hint="default" w:ascii="Times New Roman" w:hAnsi="Times New Roman" w:cs="Times New Roman" w:eastAsiaTheme="minorEastAsia"/>
                <w:color w:val="auto"/>
                <w:sz w:val="24"/>
                <w:szCs w:val="24"/>
                <w:lang w:val="en-US" w:eastAsia="zh-CN"/>
              </w:rPr>
            </w:pPr>
            <w:r>
              <w:rPr>
                <w:rFonts w:hint="eastAsia" w:ascii="Times New Roman" w:hAnsi="Times New Roman" w:cs="Times New Roman" w:eastAsiaTheme="minorEastAsia"/>
                <w:color w:val="auto"/>
                <w:sz w:val="24"/>
                <w:szCs w:val="24"/>
                <w:lang w:val="en-US" w:eastAsia="zh-CN"/>
              </w:rPr>
              <w:t>入组：13例</w:t>
            </w:r>
          </w:p>
        </w:tc>
      </w:tr>
      <w:tr w14:paraId="0EAF00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1021"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65C75788">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4</w:t>
            </w:r>
          </w:p>
        </w:tc>
        <w:tc>
          <w:tcPr>
            <w:tcW w:w="5995" w:type="dxa"/>
            <w:tcBorders>
              <w:top w:val="nil"/>
              <w:left w:val="nil"/>
              <w:bottom w:val="single" w:color="auto" w:sz="6" w:space="0"/>
              <w:right w:val="single" w:color="auto" w:sz="6" w:space="0"/>
            </w:tcBorders>
            <w:shd w:val="clear" w:color="auto" w:fill="auto"/>
            <w:tcMar>
              <w:left w:w="105" w:type="dxa"/>
              <w:right w:w="105" w:type="dxa"/>
            </w:tcMar>
            <w:vAlign w:val="top"/>
          </w:tcPr>
          <w:p w14:paraId="41210D96">
            <w:pPr>
              <w:pStyle w:val="7"/>
              <w:spacing w:line="360" w:lineRule="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lang w:val="en-US" w:eastAsia="zh-CN"/>
              </w:rPr>
              <w:t>甲/乙型流感病毒抗原检测试剂盒（胶体金法）临床试验</w:t>
            </w:r>
          </w:p>
        </w:tc>
        <w:tc>
          <w:tcPr>
            <w:tcW w:w="1535" w:type="dxa"/>
            <w:tcBorders>
              <w:top w:val="nil"/>
              <w:left w:val="nil"/>
              <w:bottom w:val="single" w:color="auto" w:sz="6" w:space="0"/>
              <w:right w:val="single" w:color="auto" w:sz="6" w:space="0"/>
            </w:tcBorders>
            <w:shd w:val="clear" w:color="auto" w:fill="auto"/>
            <w:tcMar>
              <w:left w:w="105" w:type="dxa"/>
              <w:right w:w="105" w:type="dxa"/>
            </w:tcMar>
            <w:vAlign w:val="top"/>
          </w:tcPr>
          <w:p w14:paraId="42909BC2">
            <w:pPr>
              <w:pStyle w:val="7"/>
              <w:spacing w:line="360" w:lineRule="auto"/>
              <w:rPr>
                <w:rFonts w:hint="default" w:ascii="Times New Roman" w:hAnsi="Times New Roman" w:cs="Times New Roman" w:eastAsiaTheme="minorEastAsia"/>
                <w:color w:val="auto"/>
                <w:sz w:val="24"/>
                <w:szCs w:val="24"/>
                <w:lang w:val="en-US" w:eastAsia="zh-CN"/>
              </w:rPr>
            </w:pPr>
            <w:r>
              <w:rPr>
                <w:rFonts w:hint="eastAsia" w:ascii="Times New Roman" w:hAnsi="Times New Roman" w:cs="Times New Roman" w:eastAsiaTheme="minorEastAsia"/>
                <w:color w:val="auto"/>
                <w:sz w:val="24"/>
                <w:szCs w:val="24"/>
                <w:lang w:val="en-US" w:eastAsia="zh-CN"/>
              </w:rPr>
              <w:t>入组：75例</w:t>
            </w:r>
          </w:p>
        </w:tc>
      </w:tr>
      <w:tr w14:paraId="0E0C23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480" w:hRule="atLeast"/>
          <w:tblCellSpacing w:w="0" w:type="dxa"/>
          <w:jc w:val="center"/>
        </w:trPr>
        <w:tc>
          <w:tcPr>
            <w:tcW w:w="1021"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3764530">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5</w:t>
            </w:r>
          </w:p>
        </w:tc>
        <w:tc>
          <w:tcPr>
            <w:tcW w:w="5995" w:type="dxa"/>
            <w:tcBorders>
              <w:top w:val="nil"/>
              <w:left w:val="nil"/>
              <w:bottom w:val="single" w:color="auto" w:sz="6" w:space="0"/>
              <w:right w:val="single" w:color="auto" w:sz="6" w:space="0"/>
            </w:tcBorders>
            <w:shd w:val="clear" w:color="auto" w:fill="auto"/>
            <w:tcMar>
              <w:left w:w="105" w:type="dxa"/>
              <w:right w:w="105" w:type="dxa"/>
            </w:tcMar>
            <w:vAlign w:val="top"/>
          </w:tcPr>
          <w:p w14:paraId="4755BB82">
            <w:pPr>
              <w:pStyle w:val="7"/>
              <w:spacing w:line="360" w:lineRule="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眼镜蛇毒检测试剂(胶体金免疫层析法)临床试验</w:t>
            </w:r>
          </w:p>
        </w:tc>
        <w:tc>
          <w:tcPr>
            <w:tcW w:w="1535" w:type="dxa"/>
            <w:tcBorders>
              <w:top w:val="nil"/>
              <w:left w:val="nil"/>
              <w:bottom w:val="single" w:color="auto" w:sz="6" w:space="0"/>
              <w:right w:val="single" w:color="auto" w:sz="6" w:space="0"/>
            </w:tcBorders>
            <w:shd w:val="clear" w:color="auto" w:fill="auto"/>
            <w:tcMar>
              <w:left w:w="105" w:type="dxa"/>
              <w:right w:w="105" w:type="dxa"/>
            </w:tcMar>
            <w:vAlign w:val="top"/>
          </w:tcPr>
          <w:p w14:paraId="03C71523">
            <w:pPr>
              <w:pStyle w:val="7"/>
              <w:spacing w:line="360" w:lineRule="auto"/>
              <w:rPr>
                <w:rFonts w:hint="default" w:ascii="Times New Roman" w:hAnsi="Times New Roman" w:cs="Times New Roman" w:eastAsiaTheme="minorEastAsia"/>
                <w:color w:val="auto"/>
                <w:sz w:val="24"/>
                <w:szCs w:val="24"/>
              </w:rPr>
            </w:pPr>
          </w:p>
        </w:tc>
      </w:tr>
      <w:tr w14:paraId="2BF5EC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95" w:hRule="atLeast"/>
          <w:tblCellSpacing w:w="0" w:type="dxa"/>
          <w:jc w:val="center"/>
        </w:trPr>
        <w:tc>
          <w:tcPr>
            <w:tcW w:w="1021"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40CE6621">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6</w:t>
            </w:r>
          </w:p>
        </w:tc>
        <w:tc>
          <w:tcPr>
            <w:tcW w:w="5995" w:type="dxa"/>
            <w:tcBorders>
              <w:top w:val="nil"/>
              <w:left w:val="nil"/>
              <w:bottom w:val="single" w:color="auto" w:sz="6" w:space="0"/>
              <w:right w:val="single" w:color="auto" w:sz="6" w:space="0"/>
            </w:tcBorders>
            <w:shd w:val="clear" w:color="auto" w:fill="auto"/>
            <w:tcMar>
              <w:left w:w="105" w:type="dxa"/>
              <w:right w:w="105" w:type="dxa"/>
            </w:tcMar>
            <w:vAlign w:val="top"/>
          </w:tcPr>
          <w:p w14:paraId="0A3D3D3A">
            <w:pPr>
              <w:pStyle w:val="7"/>
              <w:spacing w:line="360" w:lineRule="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探索连翘苷胶囊（KD-1 胶囊）在成人无并发症的急性流行性感冒受试者中有效性、安全性的多中心、随机、双盲、安慰剂对照的 IIb 期临床研究</w:t>
            </w:r>
          </w:p>
        </w:tc>
        <w:tc>
          <w:tcPr>
            <w:tcW w:w="1535" w:type="dxa"/>
            <w:tcBorders>
              <w:top w:val="nil"/>
              <w:left w:val="nil"/>
              <w:bottom w:val="single" w:color="auto" w:sz="6" w:space="0"/>
              <w:right w:val="single" w:color="auto" w:sz="6" w:space="0"/>
            </w:tcBorders>
            <w:shd w:val="clear" w:color="auto" w:fill="auto"/>
            <w:tcMar>
              <w:left w:w="105" w:type="dxa"/>
              <w:right w:w="105" w:type="dxa"/>
            </w:tcMar>
            <w:vAlign w:val="top"/>
          </w:tcPr>
          <w:p w14:paraId="1995B745">
            <w:pPr>
              <w:pStyle w:val="7"/>
              <w:spacing w:line="360" w:lineRule="auto"/>
              <w:rPr>
                <w:rFonts w:hint="default" w:ascii="Times New Roman" w:hAnsi="Times New Roman" w:cs="Times New Roman" w:eastAsiaTheme="minorEastAsia"/>
                <w:color w:val="auto"/>
                <w:sz w:val="24"/>
                <w:szCs w:val="24"/>
              </w:rPr>
            </w:pPr>
          </w:p>
        </w:tc>
      </w:tr>
    </w:tbl>
    <w:p w14:paraId="7CCBF045">
      <w:pPr>
        <w:keepNext w:val="0"/>
        <w:keepLines w:val="0"/>
        <w:pageBreakBefore w:val="0"/>
        <w:kinsoku/>
        <w:wordWrap/>
        <w:overflowPunct/>
        <w:topLinePunct w:val="0"/>
        <w:autoSpaceDE/>
        <w:autoSpaceDN/>
        <w:bidi w:val="0"/>
        <w:adjustRightInd/>
        <w:snapToGrid/>
        <w:spacing w:beforeAutospacing="0" w:afterAutospacing="0" w:line="360" w:lineRule="auto"/>
        <w:ind w:firstLine="0" w:firstLineChars="0"/>
        <w:jc w:val="left"/>
        <w:textAlignment w:val="auto"/>
        <w:rPr>
          <w:rFonts w:hint="default" w:ascii="Times New Roman" w:hAnsi="Times New Roman" w:cs="Times New Roman" w:eastAsiaTheme="minorEastAsia"/>
          <w:color w:val="auto"/>
          <w:sz w:val="24"/>
          <w:szCs w:val="24"/>
        </w:rPr>
      </w:pPr>
    </w:p>
    <w:p w14:paraId="3AB2C3EE">
      <w:pPr>
        <w:pStyle w:val="3"/>
        <w:keepNext w:val="0"/>
        <w:keepLines w:val="0"/>
        <w:widowControl/>
        <w:suppressLineNumbers w:val="0"/>
        <w:spacing w:line="240" w:lineRule="auto"/>
        <w:jc w:val="center"/>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sz w:val="24"/>
          <w:szCs w:val="24"/>
        </w:rPr>
        <w:drawing>
          <wp:inline distT="0" distB="0" distL="114300" distR="114300">
            <wp:extent cx="1604010" cy="2219325"/>
            <wp:effectExtent l="0" t="0" r="15240" b="9525"/>
            <wp:docPr id="2057" name="内容占位符 1" descr="2004医师苏耿（秘书）"/>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057" name="内容占位符 1" descr="2004医师苏耿（秘书）"/>
                    <pic:cNvPicPr>
                      <a:picLocks noGrp="1" noChangeAspect="1"/>
                    </pic:cNvPicPr>
                  </pic:nvPicPr>
                  <pic:blipFill>
                    <a:blip r:embed="rId6"/>
                    <a:srcRect l="6494" t="2552" r="6494" b="11023"/>
                    <a:stretch>
                      <a:fillRect/>
                    </a:stretch>
                  </pic:blipFill>
                  <pic:spPr>
                    <a:xfrm>
                      <a:off x="0" y="0"/>
                      <a:ext cx="1604010" cy="2219325"/>
                    </a:xfrm>
                    <a:prstGeom prst="rect">
                      <a:avLst/>
                    </a:prstGeom>
                    <a:noFill/>
                    <a:ln w="9525">
                      <a:noFill/>
                    </a:ln>
                  </pic:spPr>
                </pic:pic>
              </a:graphicData>
            </a:graphic>
          </wp:inline>
        </w:drawing>
      </w:r>
    </w:p>
    <w:p w14:paraId="32EABF4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jc w:val="center"/>
        <w:textAlignment w:val="auto"/>
        <w:rPr>
          <w:rFonts w:hint="default" w:ascii="Times New Roman" w:hAnsi="Times New Roman" w:cs="Times New Roman" w:eastAsiaTheme="minorEastAsia"/>
          <w:b w:val="0"/>
          <w:bCs/>
          <w:color w:val="auto"/>
          <w:sz w:val="24"/>
          <w:szCs w:val="24"/>
        </w:rPr>
      </w:pPr>
      <w:r>
        <w:rPr>
          <w:rStyle w:val="6"/>
          <w:rFonts w:hint="default" w:ascii="Times New Roman" w:hAnsi="Times New Roman" w:cs="Times New Roman" w:eastAsiaTheme="minorEastAsia"/>
          <w:b w:val="0"/>
          <w:bCs/>
          <w:color w:val="auto"/>
          <w:sz w:val="24"/>
          <w:szCs w:val="24"/>
        </w:rPr>
        <w:t>姓名：</w:t>
      </w:r>
      <w:r>
        <w:rPr>
          <w:rStyle w:val="6"/>
          <w:rFonts w:hint="default" w:ascii="Times New Roman" w:hAnsi="Times New Roman" w:cs="Times New Roman" w:eastAsiaTheme="minorEastAsia"/>
          <w:b w:val="0"/>
          <w:bCs/>
          <w:color w:val="auto"/>
          <w:sz w:val="24"/>
          <w:szCs w:val="24"/>
          <w:lang w:val="en-US" w:eastAsia="zh-CN"/>
        </w:rPr>
        <w:t xml:space="preserve">苏耿    </w:t>
      </w:r>
      <w:r>
        <w:rPr>
          <w:rStyle w:val="6"/>
          <w:rFonts w:hint="default" w:ascii="Times New Roman" w:hAnsi="Times New Roman" w:cs="Times New Roman" w:eastAsiaTheme="minorEastAsia"/>
          <w:b w:val="0"/>
          <w:bCs/>
          <w:color w:val="auto"/>
          <w:sz w:val="24"/>
          <w:szCs w:val="24"/>
        </w:rPr>
        <w:t>职务：科室</w:t>
      </w:r>
      <w:r>
        <w:rPr>
          <w:rStyle w:val="6"/>
          <w:rFonts w:hint="default" w:ascii="Times New Roman" w:hAnsi="Times New Roman" w:cs="Times New Roman" w:eastAsiaTheme="minorEastAsia"/>
          <w:b w:val="0"/>
          <w:bCs/>
          <w:color w:val="auto"/>
          <w:sz w:val="24"/>
          <w:szCs w:val="24"/>
          <w:lang w:val="en-US" w:eastAsia="zh-CN"/>
        </w:rPr>
        <w:t>副</w:t>
      </w:r>
      <w:r>
        <w:rPr>
          <w:rStyle w:val="6"/>
          <w:rFonts w:hint="default" w:ascii="Times New Roman" w:hAnsi="Times New Roman" w:cs="Times New Roman" w:eastAsiaTheme="minorEastAsia"/>
          <w:b w:val="0"/>
          <w:bCs/>
          <w:color w:val="auto"/>
          <w:sz w:val="24"/>
          <w:szCs w:val="24"/>
        </w:rPr>
        <w:t>主任</w:t>
      </w:r>
      <w:r>
        <w:rPr>
          <w:rStyle w:val="6"/>
          <w:rFonts w:hint="default" w:ascii="Times New Roman" w:hAnsi="Times New Roman" w:cs="Times New Roman" w:eastAsiaTheme="minorEastAsia"/>
          <w:b w:val="0"/>
          <w:bCs/>
          <w:color w:val="auto"/>
          <w:sz w:val="24"/>
          <w:szCs w:val="24"/>
          <w:lang w:val="en-US" w:eastAsia="zh-CN"/>
        </w:rPr>
        <w:t xml:space="preserve">   </w:t>
      </w:r>
      <w:r>
        <w:rPr>
          <w:rStyle w:val="6"/>
          <w:rFonts w:hint="default" w:ascii="Times New Roman" w:hAnsi="Times New Roman" w:cs="Times New Roman" w:eastAsiaTheme="minorEastAsia"/>
          <w:b w:val="0"/>
          <w:bCs/>
          <w:color w:val="auto"/>
          <w:sz w:val="24"/>
          <w:szCs w:val="24"/>
        </w:rPr>
        <w:t>职称：</w:t>
      </w:r>
      <w:r>
        <w:rPr>
          <w:rStyle w:val="6"/>
          <w:rFonts w:hint="default" w:ascii="Times New Roman" w:hAnsi="Times New Roman" w:cs="Times New Roman" w:eastAsiaTheme="minorEastAsia"/>
          <w:b w:val="0"/>
          <w:bCs/>
          <w:color w:val="auto"/>
          <w:sz w:val="24"/>
          <w:szCs w:val="24"/>
          <w:lang w:val="en-US" w:eastAsia="zh-CN"/>
        </w:rPr>
        <w:t>副</w:t>
      </w:r>
      <w:r>
        <w:rPr>
          <w:rStyle w:val="6"/>
          <w:rFonts w:hint="default" w:ascii="Times New Roman" w:hAnsi="Times New Roman" w:cs="Times New Roman" w:eastAsiaTheme="minorEastAsia"/>
          <w:b w:val="0"/>
          <w:bCs/>
          <w:color w:val="auto"/>
          <w:sz w:val="24"/>
          <w:szCs w:val="24"/>
        </w:rPr>
        <w:t>主任医师</w:t>
      </w:r>
    </w:p>
    <w:p w14:paraId="4FC54129">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Autospacing="0" w:line="360" w:lineRule="auto"/>
        <w:ind w:firstLine="480" w:firstLineChars="200"/>
        <w:jc w:val="center"/>
        <w:textAlignment w:val="auto"/>
        <w:rPr>
          <w:rFonts w:hint="default" w:ascii="Times New Roman" w:hAnsi="Times New Roman" w:cs="Times New Roman" w:eastAsiaTheme="minorEastAsia"/>
          <w:b w:val="0"/>
          <w:bCs/>
          <w:color w:val="auto"/>
          <w:sz w:val="24"/>
          <w:szCs w:val="24"/>
        </w:rPr>
      </w:pPr>
      <w:r>
        <w:rPr>
          <w:rStyle w:val="6"/>
          <w:rFonts w:hint="default" w:ascii="Times New Roman" w:hAnsi="Times New Roman" w:cs="Times New Roman" w:eastAsiaTheme="minorEastAsia"/>
          <w:b w:val="0"/>
          <w:bCs/>
          <w:color w:val="auto"/>
          <w:sz w:val="24"/>
          <w:szCs w:val="24"/>
        </w:rPr>
        <w:t>联系电话（座机或手机）：</w:t>
      </w:r>
      <w:r>
        <w:rPr>
          <w:rFonts w:hint="default" w:ascii="Times New Roman" w:hAnsi="Times New Roman" w:cs="Times New Roman" w:eastAsiaTheme="minorEastAsia"/>
          <w:b w:val="0"/>
          <w:bCs/>
          <w:color w:val="auto"/>
          <w:sz w:val="24"/>
          <w:szCs w:val="24"/>
          <w:lang w:val="en-US" w:eastAsia="zh-CN"/>
        </w:rPr>
        <w:t>0759-3157231</w:t>
      </w:r>
      <w:r>
        <w:rPr>
          <w:rStyle w:val="6"/>
          <w:rFonts w:hint="default" w:ascii="Times New Roman" w:hAnsi="Times New Roman" w:cs="Times New Roman" w:eastAsiaTheme="minorEastAsia"/>
          <w:b w:val="0"/>
          <w:bCs/>
          <w:color w:val="auto"/>
          <w:sz w:val="24"/>
          <w:szCs w:val="24"/>
        </w:rPr>
        <w:t>  邮箱：</w:t>
      </w:r>
      <w:r>
        <w:rPr>
          <w:rFonts w:hint="default" w:ascii="Times New Roman" w:hAnsi="Times New Roman" w:cs="Times New Roman" w:eastAsiaTheme="minorEastAsia"/>
          <w:b w:val="0"/>
          <w:bCs/>
          <w:color w:val="auto"/>
          <w:sz w:val="24"/>
          <w:szCs w:val="24"/>
          <w:lang w:val="en-US" w:eastAsia="zh-CN"/>
        </w:rPr>
        <w:t>gdmc_sugeng@163.com</w:t>
      </w:r>
    </w:p>
    <w:p w14:paraId="74730D17">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both"/>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个人简介：</w:t>
      </w:r>
      <w:r>
        <w:rPr>
          <w:rFonts w:hint="default" w:ascii="Times New Roman" w:hAnsi="Times New Roman" w:cs="Times New Roman" w:eastAsiaTheme="minorEastAsia"/>
          <w:color w:val="auto"/>
          <w:sz w:val="24"/>
          <w:szCs w:val="24"/>
          <w:lang w:val="en-US" w:eastAsia="zh-CN"/>
        </w:rPr>
        <w:t>广东省医师协会动物伤害防治专业委员会常务委员、广东省医学教育协会动物伤害防治专业委员会常务委员、广东省卫生信息网络协会智慧急诊与复苏分会常务委员、湛江医学会急诊分会常务委员、湛江市医院协会医疗救援中心（站）管理第二届委员会常务委员。</w:t>
      </w:r>
    </w:p>
    <w:p w14:paraId="178CF5B8">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textAlignment w:val="auto"/>
        <w:rPr>
          <w:rFonts w:hint="default" w:ascii="Times New Roman" w:hAnsi="Times New Roman" w:cs="Times New Roman" w:eastAsiaTheme="minorEastAsia"/>
          <w:color w:val="auto"/>
          <w:sz w:val="24"/>
          <w:szCs w:val="24"/>
          <w:lang w:val="en-US" w:eastAsia="zh-CN"/>
        </w:rPr>
      </w:pPr>
      <w:r>
        <w:rPr>
          <w:rFonts w:hint="default" w:ascii="Times New Roman" w:hAnsi="Times New Roman" w:cs="Times New Roman" w:eastAsiaTheme="minorEastAsia"/>
          <w:color w:val="auto"/>
          <w:sz w:val="24"/>
          <w:szCs w:val="24"/>
        </w:rPr>
        <w:t>主要研究方向（意向承接试验专业方向或病种）：</w:t>
      </w:r>
      <w:r>
        <w:rPr>
          <w:rFonts w:hint="default" w:ascii="Times New Roman" w:hAnsi="Times New Roman" w:cs="Times New Roman" w:eastAsiaTheme="minorEastAsia"/>
          <w:color w:val="auto"/>
          <w:sz w:val="24"/>
          <w:szCs w:val="24"/>
          <w:lang w:val="en-US" w:eastAsia="zh-CN"/>
        </w:rPr>
        <w:t>中毒、急危重症。</w:t>
      </w:r>
    </w:p>
    <w:p w14:paraId="7FA38447">
      <w:pPr>
        <w:pStyle w:val="3"/>
        <w:keepNext w:val="0"/>
        <w:keepLines w:val="0"/>
        <w:pageBreakBefore w:val="0"/>
        <w:widowControl/>
        <w:suppressLineNumbers w:val="0"/>
        <w:kinsoku/>
        <w:wordWrap/>
        <w:overflowPunct/>
        <w:topLinePunct w:val="0"/>
        <w:autoSpaceDE/>
        <w:autoSpaceDN/>
        <w:bidi w:val="0"/>
        <w:adjustRightInd/>
        <w:snapToGrid/>
        <w:spacing w:before="180" w:beforeAutospacing="0" w:afterAutospacing="0" w:line="360" w:lineRule="auto"/>
        <w:ind w:firstLine="480" w:firstLineChars="200"/>
        <w:jc w:val="left"/>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kern w:val="0"/>
          <w:sz w:val="24"/>
          <w:szCs w:val="24"/>
        </w:rPr>
        <w:t>【</w:t>
      </w:r>
      <w:r>
        <w:rPr>
          <w:rFonts w:hint="default" w:ascii="Times New Roman" w:hAnsi="Times New Roman" w:cs="Times New Roman" w:eastAsiaTheme="minorEastAsia"/>
          <w:color w:val="auto"/>
          <w:kern w:val="0"/>
          <w:sz w:val="24"/>
          <w:szCs w:val="24"/>
          <w:lang w:val="en-US" w:eastAsia="zh-CN"/>
        </w:rPr>
        <w:t>参与项目</w:t>
      </w:r>
      <w:r>
        <w:rPr>
          <w:rFonts w:hint="default" w:ascii="Times New Roman" w:hAnsi="Times New Roman" w:cs="Times New Roman" w:eastAsiaTheme="minorEastAsia"/>
          <w:color w:val="auto"/>
          <w:kern w:val="0"/>
          <w:sz w:val="24"/>
          <w:szCs w:val="24"/>
        </w:rPr>
        <w:t>】</w:t>
      </w:r>
    </w:p>
    <w:tbl>
      <w:tblPr>
        <w:tblStyle w:val="4"/>
        <w:tblW w:w="8472" w:type="dxa"/>
        <w:jc w:val="center"/>
        <w:tblCellSpacing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056"/>
        <w:gridCol w:w="5970"/>
        <w:gridCol w:w="1446"/>
      </w:tblGrid>
      <w:tr w14:paraId="362E6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1056" w:type="dxa"/>
            <w:tcBorders>
              <w:top w:val="single" w:color="auto" w:sz="6" w:space="0"/>
              <w:left w:val="single" w:color="auto" w:sz="6" w:space="0"/>
              <w:bottom w:val="single" w:color="auto" w:sz="6" w:space="0"/>
              <w:right w:val="single" w:color="auto" w:sz="6" w:space="0"/>
            </w:tcBorders>
            <w:shd w:val="clear" w:color="auto" w:fill="auto"/>
            <w:noWrap/>
            <w:tcMar>
              <w:left w:w="105" w:type="dxa"/>
              <w:right w:w="105" w:type="dxa"/>
            </w:tcMar>
            <w:vAlign w:val="center"/>
          </w:tcPr>
          <w:p w14:paraId="3F9972E1">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b/>
                <w:bCs/>
                <w:color w:val="auto"/>
                <w:sz w:val="24"/>
                <w:szCs w:val="24"/>
              </w:rPr>
            </w:pPr>
            <w:r>
              <w:rPr>
                <w:rFonts w:hint="default" w:ascii="Times New Roman" w:hAnsi="Times New Roman" w:cs="Times New Roman" w:eastAsiaTheme="minorEastAsia"/>
                <w:b/>
                <w:bCs/>
                <w:color w:val="auto"/>
                <w:sz w:val="24"/>
                <w:szCs w:val="24"/>
              </w:rPr>
              <w:t>No.</w:t>
            </w:r>
          </w:p>
        </w:tc>
        <w:tc>
          <w:tcPr>
            <w:tcW w:w="5970"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2293D66F">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b/>
                <w:bCs/>
                <w:color w:val="auto"/>
                <w:sz w:val="24"/>
                <w:szCs w:val="24"/>
              </w:rPr>
            </w:pPr>
            <w:r>
              <w:rPr>
                <w:rFonts w:hint="default" w:ascii="Times New Roman" w:hAnsi="Times New Roman" w:cs="Times New Roman" w:eastAsiaTheme="minorEastAsia"/>
                <w:b/>
                <w:bCs/>
                <w:color w:val="auto"/>
                <w:sz w:val="24"/>
                <w:szCs w:val="24"/>
              </w:rPr>
              <w:t>项目名称</w:t>
            </w:r>
          </w:p>
        </w:tc>
        <w:tc>
          <w:tcPr>
            <w:tcW w:w="1446" w:type="dxa"/>
            <w:tcBorders>
              <w:top w:val="single" w:color="auto" w:sz="6" w:space="0"/>
              <w:left w:val="nil"/>
              <w:bottom w:val="single" w:color="auto" w:sz="6" w:space="0"/>
              <w:right w:val="single" w:color="auto" w:sz="6" w:space="0"/>
            </w:tcBorders>
            <w:shd w:val="clear" w:color="auto" w:fill="auto"/>
            <w:tcMar>
              <w:left w:w="105" w:type="dxa"/>
              <w:right w:w="105" w:type="dxa"/>
            </w:tcMar>
            <w:vAlign w:val="center"/>
          </w:tcPr>
          <w:p w14:paraId="0314F01F">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b/>
                <w:bCs/>
                <w:color w:val="auto"/>
                <w:sz w:val="24"/>
                <w:szCs w:val="24"/>
                <w:lang w:val="en-US" w:eastAsia="zh-CN"/>
              </w:rPr>
            </w:pPr>
            <w:r>
              <w:rPr>
                <w:rFonts w:hint="default" w:ascii="Times New Roman" w:hAnsi="Times New Roman" w:cs="Times New Roman" w:eastAsiaTheme="minorEastAsia"/>
                <w:b/>
                <w:bCs/>
                <w:color w:val="auto"/>
                <w:sz w:val="24"/>
                <w:szCs w:val="24"/>
                <w:lang w:val="en-US" w:eastAsia="zh-CN"/>
              </w:rPr>
              <w:t>备注</w:t>
            </w:r>
          </w:p>
        </w:tc>
      </w:tr>
      <w:tr w14:paraId="07B79A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1056"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56DEC3F9">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1</w:t>
            </w:r>
          </w:p>
        </w:tc>
        <w:tc>
          <w:tcPr>
            <w:tcW w:w="5970" w:type="dxa"/>
            <w:tcBorders>
              <w:top w:val="nil"/>
              <w:left w:val="nil"/>
              <w:bottom w:val="single" w:color="auto" w:sz="6" w:space="0"/>
              <w:right w:val="single" w:color="auto" w:sz="6" w:space="0"/>
            </w:tcBorders>
            <w:shd w:val="clear" w:color="auto" w:fill="auto"/>
            <w:tcMar>
              <w:left w:w="105" w:type="dxa"/>
              <w:right w:w="105" w:type="dxa"/>
            </w:tcMar>
            <w:vAlign w:val="top"/>
          </w:tcPr>
          <w:p w14:paraId="24699D91">
            <w:pPr>
              <w:pStyle w:val="7"/>
              <w:spacing w:line="360" w:lineRule="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lang w:val="en-US" w:eastAsia="zh-CN"/>
              </w:rPr>
              <w:t>一项评价注射用 CN-105 肽用于急性幕上脑出血患者的安全性和有效性的多中心、随机、盲法、安慰剂对照、剂量探索的 II 期临床研究-广东鹍鹏肽灵生物科技有限公司</w:t>
            </w:r>
          </w:p>
        </w:tc>
        <w:tc>
          <w:tcPr>
            <w:tcW w:w="1446" w:type="dxa"/>
            <w:tcBorders>
              <w:top w:val="nil"/>
              <w:left w:val="nil"/>
              <w:bottom w:val="single" w:color="auto" w:sz="6" w:space="0"/>
              <w:right w:val="single" w:color="auto" w:sz="6" w:space="0"/>
            </w:tcBorders>
            <w:shd w:val="clear" w:color="auto" w:fill="auto"/>
            <w:tcMar>
              <w:left w:w="105" w:type="dxa"/>
              <w:right w:w="105" w:type="dxa"/>
            </w:tcMar>
            <w:vAlign w:val="top"/>
          </w:tcPr>
          <w:p w14:paraId="7612DA87">
            <w:pPr>
              <w:pStyle w:val="7"/>
              <w:spacing w:line="360" w:lineRule="auto"/>
              <w:rPr>
                <w:rFonts w:hint="default" w:ascii="Times New Roman" w:hAnsi="Times New Roman" w:cs="Times New Roman" w:eastAsiaTheme="minorEastAsia"/>
                <w:color w:val="auto"/>
                <w:sz w:val="24"/>
                <w:szCs w:val="24"/>
                <w:lang w:val="en-US" w:eastAsia="zh-CN"/>
              </w:rPr>
            </w:pPr>
          </w:p>
        </w:tc>
      </w:tr>
      <w:tr w14:paraId="46786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1056"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429580F7">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2</w:t>
            </w:r>
          </w:p>
        </w:tc>
        <w:tc>
          <w:tcPr>
            <w:tcW w:w="5970" w:type="dxa"/>
            <w:tcBorders>
              <w:top w:val="nil"/>
              <w:left w:val="nil"/>
              <w:bottom w:val="single" w:color="auto" w:sz="6" w:space="0"/>
              <w:right w:val="single" w:color="auto" w:sz="6" w:space="0"/>
            </w:tcBorders>
            <w:shd w:val="clear" w:color="auto" w:fill="auto"/>
            <w:tcMar>
              <w:left w:w="105" w:type="dxa"/>
              <w:right w:w="105" w:type="dxa"/>
            </w:tcMar>
            <w:vAlign w:val="top"/>
          </w:tcPr>
          <w:p w14:paraId="2FFBED7D">
            <w:pPr>
              <w:pStyle w:val="7"/>
              <w:spacing w:line="360" w:lineRule="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lang w:val="en-US" w:eastAsia="zh-CN"/>
              </w:rPr>
              <w:t>评价 SYH2055 片在 COVID-19 伴高危因素成年患者中有效性和安全性的多中心、随机、双盲、安慰剂对照 IⅡ期临床试验-石药集团中奇制药技术（石家庄）有限公司</w:t>
            </w:r>
          </w:p>
        </w:tc>
        <w:tc>
          <w:tcPr>
            <w:tcW w:w="1446" w:type="dxa"/>
            <w:tcBorders>
              <w:top w:val="nil"/>
              <w:left w:val="nil"/>
              <w:bottom w:val="single" w:color="auto" w:sz="6" w:space="0"/>
              <w:right w:val="single" w:color="auto" w:sz="6" w:space="0"/>
            </w:tcBorders>
            <w:shd w:val="clear" w:color="auto" w:fill="auto"/>
            <w:tcMar>
              <w:left w:w="105" w:type="dxa"/>
              <w:right w:w="105" w:type="dxa"/>
            </w:tcMar>
            <w:vAlign w:val="top"/>
          </w:tcPr>
          <w:p w14:paraId="3BA6CD08">
            <w:pPr>
              <w:pStyle w:val="7"/>
              <w:spacing w:line="360" w:lineRule="auto"/>
              <w:rPr>
                <w:rFonts w:hint="default" w:ascii="Times New Roman" w:hAnsi="Times New Roman" w:cs="Times New Roman" w:eastAsiaTheme="minorEastAsia"/>
                <w:color w:val="auto"/>
                <w:sz w:val="24"/>
                <w:szCs w:val="24"/>
                <w:lang w:val="en-US" w:eastAsia="zh-CN"/>
              </w:rPr>
            </w:pPr>
          </w:p>
        </w:tc>
      </w:tr>
      <w:tr w14:paraId="388C3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50" w:hRule="atLeast"/>
          <w:tblCellSpacing w:w="0" w:type="dxa"/>
          <w:jc w:val="center"/>
        </w:trPr>
        <w:tc>
          <w:tcPr>
            <w:tcW w:w="1056"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121A62C4">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3</w:t>
            </w:r>
          </w:p>
        </w:tc>
        <w:tc>
          <w:tcPr>
            <w:tcW w:w="5970" w:type="dxa"/>
            <w:tcBorders>
              <w:top w:val="nil"/>
              <w:left w:val="nil"/>
              <w:bottom w:val="single" w:color="auto" w:sz="6" w:space="0"/>
              <w:right w:val="single" w:color="auto" w:sz="6" w:space="0"/>
            </w:tcBorders>
            <w:shd w:val="clear" w:color="auto" w:fill="auto"/>
            <w:tcMar>
              <w:left w:w="105" w:type="dxa"/>
              <w:right w:w="105" w:type="dxa"/>
            </w:tcMar>
            <w:vAlign w:val="top"/>
          </w:tcPr>
          <w:p w14:paraId="547B8F25">
            <w:pPr>
              <w:pStyle w:val="7"/>
              <w:spacing w:line="360" w:lineRule="auto"/>
              <w:jc w:val="center"/>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lang w:val="en-US" w:eastAsia="zh-CN"/>
              </w:rPr>
              <w:t>六神胶囊治疗新型冠状病毒感染（疫毒束表证）的随机、双盲、安慰剂平行对照、多中心、Ⅱ期探索性临床试验-雷允上药业集团有限公司</w:t>
            </w:r>
          </w:p>
        </w:tc>
        <w:tc>
          <w:tcPr>
            <w:tcW w:w="1446" w:type="dxa"/>
            <w:tcBorders>
              <w:top w:val="nil"/>
              <w:left w:val="nil"/>
              <w:bottom w:val="single" w:color="auto" w:sz="6" w:space="0"/>
              <w:right w:val="single" w:color="auto" w:sz="6" w:space="0"/>
            </w:tcBorders>
            <w:shd w:val="clear" w:color="auto" w:fill="auto"/>
            <w:tcMar>
              <w:left w:w="105" w:type="dxa"/>
              <w:right w:w="105" w:type="dxa"/>
            </w:tcMar>
            <w:vAlign w:val="top"/>
          </w:tcPr>
          <w:p w14:paraId="0EAF0111">
            <w:pPr>
              <w:pStyle w:val="7"/>
              <w:spacing w:line="360" w:lineRule="auto"/>
              <w:jc w:val="center"/>
              <w:rPr>
                <w:rFonts w:hint="eastAsia" w:ascii="Times New Roman" w:hAnsi="Times New Roman" w:cs="Times New Roman" w:eastAsiaTheme="minorEastAsia"/>
                <w:color w:val="auto"/>
                <w:sz w:val="24"/>
                <w:szCs w:val="24"/>
                <w:lang w:val="en-US" w:eastAsia="zh-CN"/>
              </w:rPr>
            </w:pPr>
          </w:p>
          <w:p w14:paraId="20C6C769">
            <w:pPr>
              <w:pStyle w:val="7"/>
              <w:spacing w:line="360" w:lineRule="auto"/>
              <w:jc w:val="center"/>
              <w:rPr>
                <w:rFonts w:hint="default" w:ascii="Times New Roman" w:hAnsi="Times New Roman" w:cs="Times New Roman" w:eastAsiaTheme="minorEastAsia"/>
                <w:color w:val="auto"/>
                <w:sz w:val="24"/>
                <w:szCs w:val="24"/>
                <w:lang w:val="en-US" w:eastAsia="zh-CN"/>
              </w:rPr>
            </w:pPr>
            <w:r>
              <w:rPr>
                <w:rFonts w:hint="eastAsia" w:ascii="Times New Roman" w:hAnsi="Times New Roman" w:cs="Times New Roman" w:eastAsiaTheme="minorEastAsia"/>
                <w:color w:val="auto"/>
                <w:sz w:val="24"/>
                <w:szCs w:val="24"/>
                <w:lang w:val="en-US" w:eastAsia="zh-CN"/>
              </w:rPr>
              <w:t>入组：13例</w:t>
            </w:r>
          </w:p>
        </w:tc>
      </w:tr>
      <w:tr w14:paraId="3D570EC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10" w:hRule="atLeast"/>
          <w:tblCellSpacing w:w="0" w:type="dxa"/>
          <w:jc w:val="center"/>
        </w:trPr>
        <w:tc>
          <w:tcPr>
            <w:tcW w:w="1056"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6166126A">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4</w:t>
            </w:r>
          </w:p>
        </w:tc>
        <w:tc>
          <w:tcPr>
            <w:tcW w:w="5970" w:type="dxa"/>
            <w:tcBorders>
              <w:top w:val="nil"/>
              <w:left w:val="nil"/>
              <w:bottom w:val="single" w:color="auto" w:sz="6" w:space="0"/>
              <w:right w:val="single" w:color="auto" w:sz="6" w:space="0"/>
            </w:tcBorders>
            <w:shd w:val="clear" w:color="auto" w:fill="auto"/>
            <w:tcMar>
              <w:left w:w="105" w:type="dxa"/>
              <w:right w:w="105" w:type="dxa"/>
            </w:tcMar>
            <w:vAlign w:val="top"/>
          </w:tcPr>
          <w:p w14:paraId="31E2D697">
            <w:pPr>
              <w:pStyle w:val="7"/>
              <w:spacing w:line="360" w:lineRule="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lang w:val="en-US" w:eastAsia="zh-CN"/>
              </w:rPr>
              <w:t>甲/乙型流感病毒抗原检测试剂盒（胶体金法）临床试验</w:t>
            </w:r>
          </w:p>
        </w:tc>
        <w:tc>
          <w:tcPr>
            <w:tcW w:w="1446" w:type="dxa"/>
            <w:tcBorders>
              <w:top w:val="nil"/>
              <w:left w:val="nil"/>
              <w:bottom w:val="single" w:color="auto" w:sz="6" w:space="0"/>
              <w:right w:val="single" w:color="auto" w:sz="6" w:space="0"/>
            </w:tcBorders>
            <w:shd w:val="clear" w:color="auto" w:fill="auto"/>
            <w:tcMar>
              <w:left w:w="105" w:type="dxa"/>
              <w:right w:w="105" w:type="dxa"/>
            </w:tcMar>
            <w:vAlign w:val="top"/>
          </w:tcPr>
          <w:p w14:paraId="43DA1176">
            <w:pPr>
              <w:pStyle w:val="7"/>
              <w:spacing w:line="360" w:lineRule="auto"/>
              <w:rPr>
                <w:rFonts w:hint="default" w:ascii="Times New Roman" w:hAnsi="Times New Roman" w:cs="Times New Roman" w:eastAsiaTheme="minorEastAsia"/>
                <w:color w:val="auto"/>
                <w:sz w:val="24"/>
                <w:szCs w:val="24"/>
                <w:lang w:val="en-US" w:eastAsia="zh-CN"/>
              </w:rPr>
            </w:pPr>
            <w:r>
              <w:rPr>
                <w:rFonts w:hint="eastAsia" w:ascii="Times New Roman" w:hAnsi="Times New Roman" w:cs="Times New Roman" w:eastAsiaTheme="minorEastAsia"/>
                <w:color w:val="auto"/>
                <w:sz w:val="24"/>
                <w:szCs w:val="24"/>
                <w:lang w:val="en-US" w:eastAsia="zh-CN"/>
              </w:rPr>
              <w:t>入组：75例</w:t>
            </w:r>
          </w:p>
        </w:tc>
      </w:tr>
      <w:tr w14:paraId="1F300D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480" w:hRule="atLeast"/>
          <w:tblCellSpacing w:w="0" w:type="dxa"/>
          <w:jc w:val="center"/>
        </w:trPr>
        <w:tc>
          <w:tcPr>
            <w:tcW w:w="1056"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07E45BD3">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5</w:t>
            </w:r>
          </w:p>
        </w:tc>
        <w:tc>
          <w:tcPr>
            <w:tcW w:w="5970" w:type="dxa"/>
            <w:tcBorders>
              <w:top w:val="nil"/>
              <w:left w:val="nil"/>
              <w:bottom w:val="single" w:color="auto" w:sz="6" w:space="0"/>
              <w:right w:val="single" w:color="auto" w:sz="6" w:space="0"/>
            </w:tcBorders>
            <w:shd w:val="clear" w:color="auto" w:fill="auto"/>
            <w:tcMar>
              <w:left w:w="105" w:type="dxa"/>
              <w:right w:w="105" w:type="dxa"/>
            </w:tcMar>
            <w:vAlign w:val="top"/>
          </w:tcPr>
          <w:p w14:paraId="360E53E6">
            <w:pPr>
              <w:pStyle w:val="7"/>
              <w:spacing w:line="360" w:lineRule="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眼镜蛇毒检测试剂(胶体金免疫层析法)临床试验</w:t>
            </w:r>
          </w:p>
        </w:tc>
        <w:tc>
          <w:tcPr>
            <w:tcW w:w="1446" w:type="dxa"/>
            <w:tcBorders>
              <w:top w:val="nil"/>
              <w:left w:val="nil"/>
              <w:bottom w:val="single" w:color="auto" w:sz="6" w:space="0"/>
              <w:right w:val="single" w:color="auto" w:sz="6" w:space="0"/>
            </w:tcBorders>
            <w:shd w:val="clear" w:color="auto" w:fill="auto"/>
            <w:tcMar>
              <w:left w:w="105" w:type="dxa"/>
              <w:right w:w="105" w:type="dxa"/>
            </w:tcMar>
            <w:vAlign w:val="top"/>
          </w:tcPr>
          <w:p w14:paraId="56870F77">
            <w:pPr>
              <w:pStyle w:val="7"/>
              <w:spacing w:line="360" w:lineRule="auto"/>
              <w:rPr>
                <w:rFonts w:hint="default" w:ascii="Times New Roman" w:hAnsi="Times New Roman" w:cs="Times New Roman" w:eastAsiaTheme="minorEastAsia"/>
                <w:color w:val="auto"/>
                <w:sz w:val="24"/>
                <w:szCs w:val="24"/>
              </w:rPr>
            </w:pPr>
          </w:p>
        </w:tc>
      </w:tr>
      <w:tr w14:paraId="7CCD2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95" w:hRule="atLeast"/>
          <w:tblCellSpacing w:w="0" w:type="dxa"/>
          <w:jc w:val="center"/>
        </w:trPr>
        <w:tc>
          <w:tcPr>
            <w:tcW w:w="1056" w:type="dxa"/>
            <w:tcBorders>
              <w:top w:val="nil"/>
              <w:left w:val="single" w:color="auto" w:sz="6" w:space="0"/>
              <w:bottom w:val="single" w:color="auto" w:sz="6" w:space="0"/>
              <w:right w:val="single" w:color="auto" w:sz="6" w:space="0"/>
            </w:tcBorders>
            <w:shd w:val="clear" w:color="auto" w:fill="auto"/>
            <w:noWrap/>
            <w:tcMar>
              <w:left w:w="105" w:type="dxa"/>
              <w:right w:w="105" w:type="dxa"/>
            </w:tcMar>
            <w:vAlign w:val="center"/>
          </w:tcPr>
          <w:p w14:paraId="36AC9036">
            <w:pPr>
              <w:pStyle w:val="3"/>
              <w:keepNext w:val="0"/>
              <w:keepLines w:val="0"/>
              <w:pageBreakBefore w:val="0"/>
              <w:widowControl/>
              <w:suppressLineNumbers w:val="0"/>
              <w:kinsoku/>
              <w:wordWrap/>
              <w:overflowPunct/>
              <w:topLinePunct w:val="0"/>
              <w:autoSpaceDE/>
              <w:autoSpaceDN/>
              <w:bidi w:val="0"/>
              <w:adjustRightInd/>
              <w:snapToGrid/>
              <w:spacing w:beforeAutospacing="0" w:afterAutospacing="0" w:line="360" w:lineRule="auto"/>
              <w:ind w:firstLine="0" w:firstLineChars="0"/>
              <w:jc w:val="center"/>
              <w:textAlignment w:val="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6</w:t>
            </w:r>
          </w:p>
        </w:tc>
        <w:tc>
          <w:tcPr>
            <w:tcW w:w="5970" w:type="dxa"/>
            <w:tcBorders>
              <w:top w:val="nil"/>
              <w:left w:val="nil"/>
              <w:bottom w:val="single" w:color="auto" w:sz="6" w:space="0"/>
              <w:right w:val="single" w:color="auto" w:sz="6" w:space="0"/>
            </w:tcBorders>
            <w:shd w:val="clear" w:color="auto" w:fill="auto"/>
            <w:tcMar>
              <w:left w:w="105" w:type="dxa"/>
              <w:right w:w="105" w:type="dxa"/>
            </w:tcMar>
            <w:vAlign w:val="top"/>
          </w:tcPr>
          <w:p w14:paraId="4F869188">
            <w:pPr>
              <w:pStyle w:val="7"/>
              <w:spacing w:line="360" w:lineRule="auto"/>
              <w:rPr>
                <w:rFonts w:hint="default" w:ascii="Times New Roman" w:hAnsi="Times New Roman" w:cs="Times New Roman" w:eastAsiaTheme="minorEastAsia"/>
                <w:color w:val="auto"/>
                <w:sz w:val="24"/>
                <w:szCs w:val="24"/>
              </w:rPr>
            </w:pPr>
            <w:r>
              <w:rPr>
                <w:rFonts w:hint="default" w:ascii="Times New Roman" w:hAnsi="Times New Roman" w:cs="Times New Roman" w:eastAsiaTheme="minorEastAsia"/>
                <w:color w:val="auto"/>
                <w:sz w:val="24"/>
                <w:szCs w:val="24"/>
              </w:rPr>
              <w:t>探索连翘苷胶囊（KD-1 胶囊）在成人无并发症的急性流行性感冒受试者中有效性、安全性的多中心、随机、双盲、安慰剂对照的 IIb 期临床研究</w:t>
            </w:r>
          </w:p>
        </w:tc>
        <w:tc>
          <w:tcPr>
            <w:tcW w:w="1446" w:type="dxa"/>
            <w:tcBorders>
              <w:top w:val="nil"/>
              <w:left w:val="nil"/>
              <w:bottom w:val="single" w:color="auto" w:sz="6" w:space="0"/>
              <w:right w:val="single" w:color="auto" w:sz="6" w:space="0"/>
            </w:tcBorders>
            <w:shd w:val="clear" w:color="auto" w:fill="auto"/>
            <w:tcMar>
              <w:left w:w="105" w:type="dxa"/>
              <w:right w:w="105" w:type="dxa"/>
            </w:tcMar>
            <w:vAlign w:val="top"/>
          </w:tcPr>
          <w:p w14:paraId="27584034">
            <w:pPr>
              <w:pStyle w:val="7"/>
              <w:spacing w:line="360" w:lineRule="auto"/>
              <w:rPr>
                <w:rFonts w:hint="default" w:ascii="Times New Roman" w:hAnsi="Times New Roman" w:cs="Times New Roman" w:eastAsiaTheme="minorEastAsia"/>
                <w:color w:val="auto"/>
                <w:sz w:val="24"/>
                <w:szCs w:val="24"/>
              </w:rPr>
            </w:pPr>
          </w:p>
        </w:tc>
      </w:tr>
    </w:tbl>
    <w:p w14:paraId="43B4F03A">
      <w:pPr>
        <w:keepNext w:val="0"/>
        <w:keepLines w:val="0"/>
        <w:pageBreakBefore w:val="0"/>
        <w:kinsoku/>
        <w:wordWrap/>
        <w:overflowPunct/>
        <w:topLinePunct w:val="0"/>
        <w:autoSpaceDE/>
        <w:autoSpaceDN/>
        <w:bidi w:val="0"/>
        <w:adjustRightInd/>
        <w:snapToGrid/>
        <w:spacing w:beforeAutospacing="0" w:afterAutospacing="0" w:line="360" w:lineRule="auto"/>
        <w:ind w:firstLine="0" w:firstLineChars="0"/>
        <w:jc w:val="left"/>
        <w:textAlignment w:val="auto"/>
        <w:rPr>
          <w:rFonts w:hint="default" w:ascii="Times New Roman" w:hAnsi="Times New Roman" w:cs="Times New Roman" w:eastAsiaTheme="minorEastAsia"/>
          <w:color w:val="auto"/>
          <w:sz w:val="24"/>
          <w:szCs w:val="24"/>
          <w:lang w:val="en-US" w:eastAsia="zh-CN"/>
        </w:rPr>
      </w:pPr>
    </w:p>
    <w:sectPr>
      <w:pgSz w:w="11906" w:h="16838"/>
      <w:pgMar w:top="1440" w:right="1797" w:bottom="1440" w:left="179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M0YWZiMDVlNmY2YTcxYjBkOWJhYmJkMTYzMmVjZGEifQ=="/>
  </w:docVars>
  <w:rsids>
    <w:rsidRoot w:val="00000000"/>
    <w:rsid w:val="04633D16"/>
    <w:rsid w:val="06321C36"/>
    <w:rsid w:val="069B2043"/>
    <w:rsid w:val="0DE22CAF"/>
    <w:rsid w:val="0F701CC2"/>
    <w:rsid w:val="111A4FF0"/>
    <w:rsid w:val="11273833"/>
    <w:rsid w:val="19092111"/>
    <w:rsid w:val="229C0B63"/>
    <w:rsid w:val="235B60B3"/>
    <w:rsid w:val="26F96584"/>
    <w:rsid w:val="27237EB2"/>
    <w:rsid w:val="282C4434"/>
    <w:rsid w:val="292E39DC"/>
    <w:rsid w:val="2D614E83"/>
    <w:rsid w:val="2DA31469"/>
    <w:rsid w:val="2FD10E25"/>
    <w:rsid w:val="35AC066D"/>
    <w:rsid w:val="3A2E24D0"/>
    <w:rsid w:val="3AE251C4"/>
    <w:rsid w:val="3D103642"/>
    <w:rsid w:val="3F8E17DC"/>
    <w:rsid w:val="421D16D1"/>
    <w:rsid w:val="44323F78"/>
    <w:rsid w:val="47504495"/>
    <w:rsid w:val="4E797E26"/>
    <w:rsid w:val="52934E06"/>
    <w:rsid w:val="561F7505"/>
    <w:rsid w:val="57246E57"/>
    <w:rsid w:val="588C69A8"/>
    <w:rsid w:val="6C8D4D71"/>
    <w:rsid w:val="6E795167"/>
    <w:rsid w:val="76366479"/>
    <w:rsid w:val="7D382A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qFormat/>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 w:type="paragraph" w:customStyle="1" w:styleId="7">
    <w:name w:val="Other|1"/>
    <w:basedOn w:val="1"/>
    <w:qFormat/>
    <w:uiPriority w:val="0"/>
    <w:pPr>
      <w:jc w:val="center"/>
    </w:pPr>
    <w:rPr>
      <w:rFonts w:ascii="宋体" w:hAnsi="宋体" w:eastAsia="宋体" w:cs="宋体"/>
      <w:sz w:val="20"/>
      <w:szCs w:val="20"/>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6</Pages>
  <Words>2705</Words>
  <Characters>2953</Characters>
  <Lines>0</Lines>
  <Paragraphs>0</Paragraphs>
  <TotalTime>7</TotalTime>
  <ScaleCrop>false</ScaleCrop>
  <LinksUpToDate>false</LinksUpToDate>
  <CharactersWithSpaces>3011</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2024-03-07T02:28:00Z</dcterms:created>
  <dc:creator>Administrator</dc:creator>
  <cp:lastModifiedBy>李倩</cp:lastModifiedBy>
  <dcterms:modified xsi:type="dcterms:W3CDTF">2026-01-16T06:46:21Z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AF6995E979A04952B986BB5D45EF79FB_13</vt:lpwstr>
  </property>
  <property fmtid="{D5CDD505-2E9C-101B-9397-08002B2CF9AE}" pid="4" name="KSOTemplateDocerSaveRecord">
    <vt:lpwstr>eyJoZGlkIjoiOWQ0YWI2NGY4YTdlODYyMzc3ZDI4NDhhMzVhNjBlNjIiLCJ1c2VySWQiOiIzMTM4MTI4NjIifQ==</vt:lpwstr>
  </property>
</Properties>
</file>