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C9317E">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643" w:firstLineChars="200"/>
        <w:jc w:val="center"/>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val="en-US" w:eastAsia="zh-CN"/>
        </w:rPr>
        <w:t>呼吸与危重症医学科</w:t>
      </w:r>
    </w:p>
    <w:p w14:paraId="5749835D">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643" w:firstLineChars="200"/>
        <w:jc w:val="center"/>
        <w:textAlignment w:val="auto"/>
        <w:rPr>
          <w:rFonts w:hint="eastAsia" w:asciiTheme="minorEastAsia" w:hAnsiTheme="minorEastAsia" w:eastAsiaTheme="minorEastAsia" w:cstheme="minorEastAsia"/>
          <w:sz w:val="32"/>
          <w:szCs w:val="32"/>
        </w:rPr>
      </w:pPr>
      <w:r>
        <w:rPr>
          <w:rStyle w:val="6"/>
          <w:rFonts w:hint="eastAsia" w:asciiTheme="minorEastAsia" w:hAnsiTheme="minorEastAsia" w:eastAsiaTheme="minorEastAsia" w:cstheme="minorEastAsia"/>
          <w:sz w:val="32"/>
          <w:szCs w:val="32"/>
        </w:rPr>
        <w:t>专业介绍</w:t>
      </w:r>
    </w:p>
    <w:p w14:paraId="293A5965">
      <w:pPr>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auto"/>
          <w:kern w:val="0"/>
          <w:sz w:val="24"/>
          <w:szCs w:val="24"/>
        </w:rPr>
        <w:t>【科室概况】</w:t>
      </w:r>
    </w:p>
    <w:p w14:paraId="0F2CCE37">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eastAsia"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湛江中心人民医院</w:t>
      </w:r>
      <w:r>
        <w:rPr>
          <w:rFonts w:hint="eastAsia" w:ascii="Times New Roman" w:hAnsi="Times New Roman" w:eastAsia="宋体" w:cs="Times New Roman"/>
          <w:sz w:val="24"/>
          <w:szCs w:val="24"/>
          <w:lang w:val="en-US" w:eastAsia="zh-CN"/>
        </w:rPr>
        <w:t>呼吸内科</w:t>
      </w:r>
      <w:r>
        <w:rPr>
          <w:rFonts w:hint="default" w:ascii="Times New Roman" w:hAnsi="Times New Roman" w:eastAsia="宋体" w:cs="Times New Roman"/>
          <w:sz w:val="24"/>
          <w:szCs w:val="24"/>
        </w:rPr>
        <w:t>始建于建于1976年，经过40多年的发展，</w:t>
      </w:r>
      <w:r>
        <w:rPr>
          <w:rFonts w:hint="eastAsia" w:ascii="Times New Roman" w:hAnsi="Times New Roman" w:eastAsia="宋体" w:cs="Times New Roman"/>
          <w:sz w:val="24"/>
          <w:szCs w:val="24"/>
        </w:rPr>
        <w:t>2018年10月原呼吸内科分科为</w:t>
      </w:r>
      <w:r>
        <w:rPr>
          <w:rFonts w:hint="eastAsia" w:ascii="Times New Roman" w:hAnsi="Times New Roman" w:eastAsia="宋体" w:cs="Times New Roman"/>
          <w:sz w:val="24"/>
          <w:szCs w:val="24"/>
          <w:lang w:val="en-US" w:eastAsia="zh-CN"/>
        </w:rPr>
        <w:t>呼吸内一科和</w:t>
      </w:r>
      <w:r>
        <w:rPr>
          <w:rFonts w:hint="eastAsia" w:ascii="Times New Roman" w:hAnsi="Times New Roman" w:eastAsia="宋体" w:cs="Times New Roman"/>
          <w:sz w:val="24"/>
          <w:szCs w:val="24"/>
        </w:rPr>
        <w:t>呼吸内二科，</w:t>
      </w:r>
      <w:r>
        <w:rPr>
          <w:rFonts w:hint="eastAsia" w:ascii="Times New Roman" w:hAnsi="Times New Roman" w:eastAsia="宋体" w:cs="Times New Roman"/>
          <w:sz w:val="24"/>
          <w:szCs w:val="24"/>
          <w:lang w:val="en-US" w:eastAsia="zh-CN"/>
        </w:rPr>
        <w:t>2022年6月分别更名为</w:t>
      </w:r>
      <w:r>
        <w:rPr>
          <w:rFonts w:hint="default" w:ascii="Times New Roman" w:hAnsi="Times New Roman" w:eastAsia="宋体" w:cs="Times New Roman"/>
          <w:sz w:val="24"/>
          <w:szCs w:val="24"/>
        </w:rPr>
        <w:t>呼吸与危重症医学科一科</w:t>
      </w:r>
      <w:r>
        <w:rPr>
          <w:rFonts w:hint="eastAsia" w:ascii="Times New Roman" w:hAnsi="Times New Roman" w:eastAsia="宋体" w:cs="Times New Roman"/>
          <w:sz w:val="24"/>
          <w:szCs w:val="24"/>
          <w:lang w:val="en-US" w:eastAsia="zh-CN"/>
        </w:rPr>
        <w:t>和呼吸与危重症医学科二科。</w:t>
      </w:r>
    </w:p>
    <w:p w14:paraId="1CE6A358">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eastAsia" w:ascii="Times New Roman" w:hAnsi="Times New Roman" w:eastAsia="宋体" w:cs="Times New Roman"/>
          <w:sz w:val="24"/>
          <w:szCs w:val="24"/>
          <w:lang w:eastAsia="zh-CN"/>
        </w:rPr>
      </w:pPr>
      <w:r>
        <w:rPr>
          <w:rFonts w:hint="default" w:ascii="Times New Roman" w:hAnsi="Times New Roman" w:eastAsia="宋体" w:cs="Times New Roman"/>
          <w:sz w:val="24"/>
          <w:szCs w:val="24"/>
        </w:rPr>
        <w:t>呼吸与危重症医学科一科集医疗、教学、科研于一体，致力于呼吸系统及危重症的诊治及康复，是我院重点发展专科，是粤西地区呼吸病区域医学中心牵头单位，拥有本地区先进的医疗设施和仪器设备。对于呼吸系统的常见病、疑难病、危重疾病、少见病及罕见病均有较高的诊疗救治水平。呼吸与危重症医学科一科拥有强大的专业团队，拥有呼吸危重症、呼吸介入与肺癌治疗、肺部感染、慢性阻塞性肺病、肺康复治疗专业治疗组，能开展经硬镜下硅酮支架置入术、超声支气管镜诊断及复杂气道介入治疗、气道瘘口封堵、气管肿瘤切除、良、恶性气道狭窄消融、顽固性气胸、内科胸腔镜、CT立体定位下肿瘤穿刺及消融术等四级介入手术及限制级别介入治疗技术</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rPr>
        <w:t>未来通过五年的建设，技术上突破，人员引进、管理上创新，以国家呼吸学科能力建设目标为指引，全面达到广东省高水平医院发展的目标和要求。对常见病、多发病、疑难危重病人的抢救水平在粤西地区具有较高的水平，尤其是呼吸内镜介入诊疗技术及呼吸危重症监护技术在呼吸系统疾病诊治发展方向已经发挥区域性引领作用。</w:t>
      </w:r>
    </w:p>
    <w:p w14:paraId="23D6BB9C">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呼吸与危重症医学科</w:t>
      </w:r>
      <w:r>
        <w:rPr>
          <w:rFonts w:hint="eastAsia" w:ascii="Times New Roman" w:hAnsi="Times New Roman" w:eastAsia="宋体" w:cs="Times New Roman"/>
          <w:sz w:val="24"/>
          <w:szCs w:val="24"/>
          <w:lang w:val="en-US" w:eastAsia="zh-CN"/>
        </w:rPr>
        <w:t>二科</w:t>
      </w:r>
      <w:r>
        <w:rPr>
          <w:rFonts w:hint="eastAsia" w:ascii="Times New Roman" w:hAnsi="Times New Roman" w:eastAsia="宋体" w:cs="Times New Roman"/>
          <w:sz w:val="24"/>
          <w:szCs w:val="24"/>
        </w:rPr>
        <w:t>是粤西地区呼吸系统疾病、呼吸疑难及危重症诊治专业科室。在粤西地区呼吸科领域影响力高，是湛江市"十四五"临床重点专科。经过不断的总结和创新，</w:t>
      </w:r>
      <w:r>
        <w:rPr>
          <w:rFonts w:hint="eastAsia" w:ascii="Times New Roman" w:hAnsi="Times New Roman" w:eastAsia="宋体" w:cs="Times New Roman"/>
          <w:sz w:val="24"/>
          <w:szCs w:val="24"/>
          <w:lang w:val="en-US" w:eastAsia="zh-CN"/>
        </w:rPr>
        <w:t>呼吸与危重症医学科二科学科建设取得了蓬勃发展，已构建了感染与呼吸危重症组、呼吸介入诊疗组、呼吸道肿瘤组、慢性气道疾病组4个临床亚专业组。其中呼吸介入诊疗组能熟练开展</w:t>
      </w:r>
      <w:r>
        <w:rPr>
          <w:rFonts w:ascii="Arial" w:hAnsi="Arial" w:eastAsia="宋体" w:cs="Arial"/>
          <w:i w:val="0"/>
          <w:iCs w:val="0"/>
          <w:caps w:val="0"/>
          <w:color w:val="323232"/>
          <w:spacing w:val="0"/>
          <w:sz w:val="24"/>
          <w:szCs w:val="24"/>
          <w:shd w:val="clear" w:fill="FFFFFF"/>
        </w:rPr>
        <w:t>经支气管镜下</w:t>
      </w:r>
      <w:r>
        <w:rPr>
          <w:rFonts w:hint="eastAsia" w:ascii="Arial" w:hAnsi="Arial" w:eastAsia="宋体" w:cs="Arial"/>
          <w:i w:val="0"/>
          <w:iCs w:val="0"/>
          <w:caps w:val="0"/>
          <w:color w:val="323232"/>
          <w:spacing w:val="0"/>
          <w:sz w:val="24"/>
          <w:szCs w:val="24"/>
          <w:shd w:val="clear" w:fill="FFFFFF"/>
          <w:lang w:val="en-US" w:eastAsia="zh-CN"/>
        </w:rPr>
        <w:t>良恶性肿瘤消瘤术</w:t>
      </w:r>
      <w:r>
        <w:rPr>
          <w:rFonts w:ascii="Arial" w:hAnsi="Arial" w:eastAsia="宋体" w:cs="Arial"/>
          <w:i w:val="0"/>
          <w:iCs w:val="0"/>
          <w:caps w:val="0"/>
          <w:color w:val="323232"/>
          <w:spacing w:val="0"/>
          <w:sz w:val="24"/>
          <w:szCs w:val="24"/>
          <w:shd w:val="clear" w:fill="FFFFFF"/>
        </w:rPr>
        <w:t>、气道狭窄支气管球囊扩张术、气管和支气管支架</w:t>
      </w:r>
      <w:r>
        <w:rPr>
          <w:rFonts w:hint="eastAsia" w:ascii="Arial" w:hAnsi="Arial" w:eastAsia="宋体" w:cs="Arial"/>
          <w:i w:val="0"/>
          <w:iCs w:val="0"/>
          <w:caps w:val="0"/>
          <w:color w:val="323232"/>
          <w:spacing w:val="0"/>
          <w:sz w:val="24"/>
          <w:szCs w:val="24"/>
          <w:shd w:val="clear" w:fill="FFFFFF"/>
          <w:lang w:val="en-US" w:eastAsia="zh-CN"/>
        </w:rPr>
        <w:t>置入及取出</w:t>
      </w:r>
      <w:r>
        <w:rPr>
          <w:rFonts w:ascii="Arial" w:hAnsi="Arial" w:eastAsia="宋体" w:cs="Arial"/>
          <w:i w:val="0"/>
          <w:iCs w:val="0"/>
          <w:caps w:val="0"/>
          <w:color w:val="323232"/>
          <w:spacing w:val="0"/>
          <w:sz w:val="24"/>
          <w:szCs w:val="24"/>
          <w:shd w:val="clear" w:fill="FFFFFF"/>
        </w:rPr>
        <w:t>术、经支气管肺门、纵隔淋巴结穿刺活检（TBNA）、球囊探查加选择性支气管封堵术治疗顽固性气胸</w:t>
      </w:r>
      <w:r>
        <w:rPr>
          <w:rFonts w:hint="eastAsia" w:ascii="Arial" w:hAnsi="Arial" w:eastAsia="宋体" w:cs="Arial"/>
          <w:i w:val="0"/>
          <w:iCs w:val="0"/>
          <w:caps w:val="0"/>
          <w:color w:val="323232"/>
          <w:spacing w:val="0"/>
          <w:sz w:val="24"/>
          <w:szCs w:val="24"/>
          <w:shd w:val="clear" w:fill="FFFFFF"/>
          <w:lang w:eastAsia="zh-CN"/>
        </w:rPr>
        <w:t>、</w:t>
      </w:r>
      <w:r>
        <w:rPr>
          <w:rFonts w:ascii="Arial" w:hAnsi="Arial" w:eastAsia="宋体" w:cs="Arial"/>
          <w:i w:val="0"/>
          <w:iCs w:val="0"/>
          <w:caps w:val="0"/>
          <w:color w:val="323232"/>
          <w:spacing w:val="0"/>
          <w:sz w:val="24"/>
          <w:szCs w:val="24"/>
          <w:shd w:val="clear" w:fill="FFFFFF"/>
        </w:rPr>
        <w:t>内科胸腔镜等一系列</w:t>
      </w:r>
      <w:r>
        <w:rPr>
          <w:rFonts w:hint="eastAsia" w:ascii="Arial" w:hAnsi="Arial" w:eastAsia="宋体" w:cs="Arial"/>
          <w:i w:val="0"/>
          <w:iCs w:val="0"/>
          <w:caps w:val="0"/>
          <w:color w:val="323232"/>
          <w:spacing w:val="0"/>
          <w:sz w:val="24"/>
          <w:szCs w:val="24"/>
          <w:shd w:val="clear" w:fill="FFFFFF"/>
          <w:lang w:val="en-US" w:eastAsia="zh-CN"/>
        </w:rPr>
        <w:t>呼吸介入</w:t>
      </w:r>
      <w:r>
        <w:rPr>
          <w:rFonts w:hint="eastAsia" w:ascii="Times New Roman" w:hAnsi="Times New Roman" w:eastAsia="宋体" w:cs="Times New Roman"/>
          <w:sz w:val="24"/>
          <w:szCs w:val="24"/>
          <w:lang w:val="en-US" w:eastAsia="zh-CN"/>
        </w:rPr>
        <w:t>三级、四级诊疗技术，处于粤西地区领先水平。呼吸肿瘤组</w:t>
      </w:r>
      <w:r>
        <w:rPr>
          <w:rFonts w:hint="eastAsia" w:ascii="Times New Roman" w:hAnsi="Times New Roman" w:eastAsia="宋体" w:cs="Times New Roman"/>
          <w:sz w:val="24"/>
          <w:szCs w:val="24"/>
          <w:lang w:val="en-US" w:eastAsia="zh"/>
        </w:rPr>
        <w:t>开展靶向、免疫</w:t>
      </w:r>
      <w:r>
        <w:rPr>
          <w:rFonts w:hint="eastAsia" w:ascii="Times New Roman" w:hAnsi="Times New Roman" w:eastAsia="宋体" w:cs="Times New Roman"/>
          <w:sz w:val="24"/>
          <w:szCs w:val="24"/>
          <w:lang w:val="en-US" w:eastAsia="zh-CN"/>
        </w:rPr>
        <w:t>、化疗</w:t>
      </w:r>
      <w:r>
        <w:rPr>
          <w:rFonts w:hint="eastAsia" w:ascii="Times New Roman" w:hAnsi="Times New Roman" w:eastAsia="宋体" w:cs="Times New Roman"/>
          <w:sz w:val="24"/>
          <w:szCs w:val="24"/>
          <w:lang w:val="en-US" w:eastAsia="zh"/>
        </w:rPr>
        <w:t>等</w:t>
      </w:r>
      <w:r>
        <w:rPr>
          <w:rFonts w:hint="eastAsia" w:ascii="Times New Roman" w:hAnsi="Times New Roman" w:eastAsia="宋体" w:cs="Times New Roman"/>
          <w:sz w:val="24"/>
          <w:szCs w:val="24"/>
          <w:lang w:val="en-US" w:eastAsia="zh-CN"/>
        </w:rPr>
        <w:t>综合</w:t>
      </w:r>
      <w:r>
        <w:rPr>
          <w:rFonts w:hint="eastAsia" w:ascii="Times New Roman" w:hAnsi="Times New Roman" w:eastAsia="宋体" w:cs="Times New Roman"/>
          <w:sz w:val="24"/>
          <w:szCs w:val="24"/>
          <w:lang w:val="en-US" w:eastAsia="zh"/>
        </w:rPr>
        <w:t>治疗</w:t>
      </w:r>
      <w:r>
        <w:rPr>
          <w:rFonts w:hint="eastAsia" w:ascii="Times New Roman" w:hAnsi="Times New Roman" w:eastAsia="宋体" w:cs="Times New Roman"/>
          <w:sz w:val="24"/>
          <w:szCs w:val="24"/>
          <w:lang w:val="en-US" w:eastAsia="zh-CN"/>
        </w:rPr>
        <w:t>，为肺癌病人提供规范化、个体化及多学科综合治疗。</w:t>
      </w:r>
      <w:r>
        <w:rPr>
          <w:rFonts w:hint="eastAsia" w:ascii="Times New Roman" w:hAnsi="Times New Roman" w:eastAsia="宋体" w:cs="Times New Roman"/>
          <w:sz w:val="24"/>
          <w:szCs w:val="24"/>
        </w:rPr>
        <w:t>倡导多学科协助，积极培养年轻人才，科室已形成良好的人才发展梯度。目前科室定编床位数</w:t>
      </w:r>
      <w:r>
        <w:rPr>
          <w:rFonts w:hint="eastAsia" w:ascii="Times New Roman" w:hAnsi="Times New Roman" w:eastAsia="宋体" w:cs="Times New Roman"/>
          <w:sz w:val="24"/>
          <w:szCs w:val="24"/>
          <w:lang w:val="en-US" w:eastAsia="zh-CN"/>
        </w:rPr>
        <w:t>54</w:t>
      </w:r>
      <w:r>
        <w:rPr>
          <w:rFonts w:hint="eastAsia" w:ascii="Times New Roman" w:hAnsi="Times New Roman" w:eastAsia="宋体" w:cs="Times New Roman"/>
          <w:sz w:val="24"/>
          <w:szCs w:val="24"/>
        </w:rPr>
        <w:t>张，开放床位数</w:t>
      </w:r>
      <w:r>
        <w:rPr>
          <w:rFonts w:hint="eastAsia" w:ascii="Times New Roman" w:hAnsi="Times New Roman" w:eastAsia="宋体" w:cs="Times New Roman"/>
          <w:sz w:val="24"/>
          <w:szCs w:val="24"/>
          <w:lang w:val="en-US" w:eastAsia="zh-CN"/>
        </w:rPr>
        <w:t>66</w:t>
      </w:r>
      <w:r>
        <w:rPr>
          <w:rFonts w:hint="eastAsia" w:ascii="Times New Roman" w:hAnsi="Times New Roman" w:eastAsia="宋体" w:cs="Times New Roman"/>
          <w:sz w:val="24"/>
          <w:szCs w:val="24"/>
        </w:rPr>
        <w:t>张；拥有专科门诊室</w:t>
      </w:r>
      <w:r>
        <w:rPr>
          <w:rFonts w:hint="eastAsia" w:ascii="Times New Roman" w:hAnsi="Times New Roman" w:eastAsia="宋体" w:cs="Times New Roman"/>
          <w:sz w:val="24"/>
          <w:szCs w:val="24"/>
          <w:lang w:val="en-US" w:eastAsia="zh-CN"/>
        </w:rPr>
        <w:t>两</w:t>
      </w:r>
      <w:r>
        <w:rPr>
          <w:rFonts w:hint="eastAsia" w:ascii="Times New Roman" w:hAnsi="Times New Roman" w:eastAsia="宋体" w:cs="Times New Roman"/>
          <w:sz w:val="24"/>
          <w:szCs w:val="24"/>
        </w:rPr>
        <w:t>个，共用肺功能检查室一个；并拥有完备的治疗室、配药室、</w:t>
      </w:r>
      <w:r>
        <w:rPr>
          <w:rFonts w:hint="eastAsia" w:ascii="Times New Roman" w:hAnsi="Times New Roman" w:eastAsia="宋体" w:cs="Times New Roman"/>
          <w:sz w:val="24"/>
          <w:szCs w:val="24"/>
          <w:lang w:val="en-US" w:eastAsia="zh-CN"/>
        </w:rPr>
        <w:t>重症监护室、</w:t>
      </w:r>
      <w:r>
        <w:rPr>
          <w:rFonts w:hint="eastAsia" w:ascii="Times New Roman" w:hAnsi="Times New Roman" w:eastAsia="宋体" w:cs="Times New Roman"/>
          <w:sz w:val="24"/>
          <w:szCs w:val="24"/>
        </w:rPr>
        <w:t>医护值班室、多媒体教研室、</w:t>
      </w:r>
      <w:r>
        <w:rPr>
          <w:rFonts w:hint="eastAsia" w:ascii="Times New Roman" w:hAnsi="Times New Roman" w:eastAsia="宋体" w:cs="Times New Roman"/>
          <w:sz w:val="24"/>
          <w:szCs w:val="24"/>
          <w:lang w:val="en-US" w:eastAsia="zh-CN"/>
        </w:rPr>
        <w:t>呼吸内</w:t>
      </w:r>
      <w:r>
        <w:rPr>
          <w:rFonts w:hint="eastAsia" w:ascii="Times New Roman" w:hAnsi="Times New Roman" w:eastAsia="宋体" w:cs="Times New Roman"/>
          <w:sz w:val="24"/>
          <w:szCs w:val="24"/>
        </w:rPr>
        <w:t>镜室（归内镜中心管理）等功能室。</w:t>
      </w:r>
      <w:r>
        <w:rPr>
          <w:rFonts w:hint="eastAsia" w:ascii="Times New Roman" w:hAnsi="Times New Roman" w:eastAsia="宋体" w:cs="Times New Roman"/>
          <w:sz w:val="24"/>
          <w:szCs w:val="24"/>
          <w:lang w:val="en-US" w:eastAsia="zh-CN"/>
        </w:rPr>
        <w:t>呼吸与危重症医学科二科</w:t>
      </w:r>
      <w:r>
        <w:rPr>
          <w:rFonts w:hint="eastAsia" w:ascii="Times New Roman" w:hAnsi="Times New Roman" w:eastAsia="宋体" w:cs="Times New Roman"/>
          <w:sz w:val="24"/>
          <w:szCs w:val="24"/>
        </w:rPr>
        <w:t>是一个医、教、研合一的现代科室。</w:t>
      </w:r>
    </w:p>
    <w:p w14:paraId="289F1222">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0" w:firstLineChars="0"/>
        <w:jc w:val="both"/>
        <w:textAlignment w:val="auto"/>
        <w:rPr>
          <w:rFonts w:hint="eastAsia" w:ascii="Times New Roman" w:hAnsi="Times New Roman" w:eastAsia="宋体" w:cs="Times New Roman"/>
          <w:sz w:val="24"/>
          <w:szCs w:val="24"/>
          <w:lang w:eastAsia="zh-CN"/>
        </w:rPr>
      </w:pPr>
      <w:r>
        <w:rPr>
          <w:rFonts w:hint="default" w:ascii="Times New Roman" w:hAnsi="Times New Roman" w:eastAsia="宋体" w:cs="Times New Roman"/>
          <w:sz w:val="24"/>
          <w:szCs w:val="24"/>
        </w:rPr>
        <w:t>呼吸与危重症医学科一科</w:t>
      </w:r>
      <w:r>
        <w:rPr>
          <w:rFonts w:hint="eastAsia" w:ascii="Times New Roman" w:hAnsi="Times New Roman" w:eastAsia="宋体" w:cs="Times New Roman"/>
          <w:sz w:val="24"/>
          <w:szCs w:val="24"/>
          <w:lang w:eastAsia="zh-CN"/>
        </w:rPr>
        <w:t>：</w:t>
      </w:r>
    </w:p>
    <w:p w14:paraId="247F56BF">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left="0"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科室地址：</w:t>
      </w:r>
      <w:r>
        <w:rPr>
          <w:rFonts w:hint="default" w:ascii="Times New Roman" w:hAnsi="Times New Roman" w:eastAsia="宋体" w:cs="Times New Roman"/>
          <w:sz w:val="24"/>
          <w:szCs w:val="24"/>
          <w:lang w:val="en-US" w:eastAsia="zh-CN"/>
        </w:rPr>
        <w:t>广东省湛江市赤坎区源珠路236号2号楼6楼</w:t>
      </w:r>
    </w:p>
    <w:p w14:paraId="6E4777FB">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专业人员数：</w:t>
      </w:r>
      <w:r>
        <w:rPr>
          <w:rFonts w:hint="default" w:ascii="Times New Roman" w:hAnsi="Times New Roman" w:eastAsia="宋体" w:cs="Times New Roman"/>
          <w:sz w:val="24"/>
          <w:szCs w:val="24"/>
          <w:lang w:val="en-US" w:eastAsia="zh-CN"/>
        </w:rPr>
        <w:t>40</w:t>
      </w:r>
      <w:r>
        <w:rPr>
          <w:rFonts w:hint="default" w:ascii="Times New Roman" w:hAnsi="Times New Roman" w:eastAsia="宋体" w:cs="Times New Roman"/>
          <w:sz w:val="24"/>
          <w:szCs w:val="24"/>
        </w:rPr>
        <w:t>余人</w:t>
      </w:r>
    </w:p>
    <w:p w14:paraId="11263FBD">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病床数：</w:t>
      </w:r>
      <w:r>
        <w:rPr>
          <w:rFonts w:hint="default" w:ascii="Times New Roman" w:hAnsi="Times New Roman" w:eastAsia="宋体" w:cs="Times New Roman"/>
          <w:sz w:val="24"/>
          <w:szCs w:val="24"/>
          <w:lang w:val="en-US" w:eastAsia="zh-CN"/>
        </w:rPr>
        <w:t>68</w:t>
      </w:r>
    </w:p>
    <w:p w14:paraId="5312C95B">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联系电话（座机或手机）：</w:t>
      </w:r>
      <w:r>
        <w:rPr>
          <w:rFonts w:hint="default" w:ascii="Times New Roman" w:hAnsi="Times New Roman" w:eastAsia="宋体" w:cs="Times New Roman"/>
          <w:sz w:val="24"/>
          <w:szCs w:val="24"/>
          <w:lang w:val="en-US" w:eastAsia="zh-CN"/>
        </w:rPr>
        <w:t>0759</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3157451</w:t>
      </w:r>
      <w:r>
        <w:rPr>
          <w:rFonts w:hint="default" w:ascii="Times New Roman" w:hAnsi="Times New Roman" w:eastAsia="宋体" w:cs="Times New Roman"/>
          <w:sz w:val="24"/>
          <w:szCs w:val="24"/>
        </w:rPr>
        <w:t xml:space="preserve">  </w:t>
      </w:r>
    </w:p>
    <w:p w14:paraId="154DDEAC">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u w:val="none"/>
          <w:lang w:val="en-US" w:eastAsia="zh-CN"/>
          <w14:textFill>
            <w14:solidFill>
              <w14:schemeClr w14:val="tx1"/>
            </w14:solidFill>
          </w14:textFill>
        </w:rPr>
      </w:pPr>
      <w:r>
        <w:rPr>
          <w:rFonts w:hint="default" w:ascii="Times New Roman" w:hAnsi="Times New Roman" w:eastAsia="宋体" w:cs="Times New Roman"/>
          <w:sz w:val="24"/>
          <w:szCs w:val="24"/>
        </w:rPr>
        <w:t>邮箱：</w:t>
      </w:r>
      <w:r>
        <w:rPr>
          <w:rFonts w:hint="default" w:ascii="Times New Roman" w:hAnsi="Times New Roman" w:eastAsia="宋体" w:cs="Times New Roman"/>
          <w:b w:val="0"/>
          <w:bCs w:val="0"/>
          <w:color w:val="000000" w:themeColor="text1"/>
          <w:sz w:val="24"/>
          <w:szCs w:val="24"/>
          <w:u w:val="none"/>
          <w:lang w:val="en-US" w:eastAsia="zh-CN"/>
          <w14:textFill>
            <w14:solidFill>
              <w14:schemeClr w14:val="tx1"/>
            </w14:solidFill>
          </w14:textFill>
        </w:rPr>
        <w:fldChar w:fldCharType="begin"/>
      </w:r>
      <w:r>
        <w:rPr>
          <w:rFonts w:hint="default" w:ascii="Times New Roman" w:hAnsi="Times New Roman" w:eastAsia="宋体" w:cs="Times New Roman"/>
          <w:b w:val="0"/>
          <w:bCs w:val="0"/>
          <w:color w:val="000000" w:themeColor="text1"/>
          <w:sz w:val="24"/>
          <w:szCs w:val="24"/>
          <w:u w:val="none"/>
          <w:lang w:val="en-US" w:eastAsia="zh-CN"/>
          <w14:textFill>
            <w14:solidFill>
              <w14:schemeClr w14:val="tx1"/>
            </w14:solidFill>
          </w14:textFill>
        </w:rPr>
        <w:instrText xml:space="preserve"> HYPERLINK "mailto:824811157@qq.com" </w:instrText>
      </w:r>
      <w:r>
        <w:rPr>
          <w:rFonts w:hint="default" w:ascii="Times New Roman" w:hAnsi="Times New Roman" w:eastAsia="宋体" w:cs="Times New Roman"/>
          <w:b w:val="0"/>
          <w:bCs w:val="0"/>
          <w:color w:val="000000" w:themeColor="text1"/>
          <w:sz w:val="24"/>
          <w:szCs w:val="24"/>
          <w:u w:val="none"/>
          <w:lang w:val="en-US" w:eastAsia="zh-CN"/>
          <w14:textFill>
            <w14:solidFill>
              <w14:schemeClr w14:val="tx1"/>
            </w14:solidFill>
          </w14:textFill>
        </w:rPr>
        <w:fldChar w:fldCharType="separate"/>
      </w:r>
      <w:r>
        <w:rPr>
          <w:rStyle w:val="7"/>
          <w:rFonts w:hint="default" w:ascii="Times New Roman" w:hAnsi="Times New Roman" w:eastAsia="宋体" w:cs="Times New Roman"/>
          <w:b w:val="0"/>
          <w:bCs w:val="0"/>
          <w:color w:val="000000" w:themeColor="text1"/>
          <w:sz w:val="24"/>
          <w:szCs w:val="24"/>
          <w:u w:val="none"/>
          <w:lang w:val="en-US" w:eastAsia="zh-CN"/>
          <w14:textFill>
            <w14:solidFill>
              <w14:schemeClr w14:val="tx1"/>
            </w14:solidFill>
          </w14:textFill>
        </w:rPr>
        <w:t>824811157</w:t>
      </w:r>
      <w:r>
        <w:rPr>
          <w:rStyle w:val="7"/>
          <w:rFonts w:hint="default" w:ascii="Times New Roman" w:hAnsi="Times New Roman" w:eastAsia="宋体" w:cs="Times New Roman"/>
          <w:b w:val="0"/>
          <w:bCs w:val="0"/>
          <w:color w:val="000000" w:themeColor="text1"/>
          <w:sz w:val="24"/>
          <w:szCs w:val="24"/>
          <w:u w:val="none"/>
          <w14:textFill>
            <w14:solidFill>
              <w14:schemeClr w14:val="tx1"/>
            </w14:solidFill>
          </w14:textFill>
        </w:rPr>
        <w:t>@</w:t>
      </w:r>
      <w:r>
        <w:rPr>
          <w:rStyle w:val="7"/>
          <w:rFonts w:hint="default" w:ascii="Times New Roman" w:hAnsi="Times New Roman" w:eastAsia="宋体" w:cs="Times New Roman"/>
          <w:b w:val="0"/>
          <w:bCs w:val="0"/>
          <w:color w:val="000000" w:themeColor="text1"/>
          <w:sz w:val="24"/>
          <w:szCs w:val="24"/>
          <w:u w:val="none"/>
          <w:lang w:val="en-US" w:eastAsia="zh-CN"/>
          <w14:textFill>
            <w14:solidFill>
              <w14:schemeClr w14:val="tx1"/>
            </w14:solidFill>
          </w14:textFill>
        </w:rPr>
        <w:t>qq</w:t>
      </w:r>
      <w:r>
        <w:rPr>
          <w:rStyle w:val="7"/>
          <w:rFonts w:hint="default" w:ascii="Times New Roman" w:hAnsi="Times New Roman" w:eastAsia="宋体" w:cs="Times New Roman"/>
          <w:b w:val="0"/>
          <w:bCs w:val="0"/>
          <w:color w:val="000000" w:themeColor="text1"/>
          <w:sz w:val="24"/>
          <w:szCs w:val="24"/>
          <w:u w:val="none"/>
          <w14:textFill>
            <w14:solidFill>
              <w14:schemeClr w14:val="tx1"/>
            </w14:solidFill>
          </w14:textFill>
        </w:rPr>
        <w:t>.com</w:t>
      </w:r>
      <w:r>
        <w:rPr>
          <w:rFonts w:hint="default" w:ascii="Times New Roman" w:hAnsi="Times New Roman" w:eastAsia="宋体" w:cs="Times New Roman"/>
          <w:b w:val="0"/>
          <w:bCs w:val="0"/>
          <w:color w:val="000000" w:themeColor="text1"/>
          <w:sz w:val="24"/>
          <w:szCs w:val="24"/>
          <w:u w:val="none"/>
          <w:lang w:val="en-US" w:eastAsia="zh-CN"/>
          <w14:textFill>
            <w14:solidFill>
              <w14:schemeClr w14:val="tx1"/>
            </w14:solidFill>
          </w14:textFill>
        </w:rPr>
        <w:fldChar w:fldCharType="end"/>
      </w:r>
    </w:p>
    <w:p w14:paraId="0AC9BF2C">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u w:val="none"/>
          <w:lang w:val="en-US" w:eastAsia="zh-CN"/>
          <w14:textFill>
            <w14:solidFill>
              <w14:schemeClr w14:val="tx1"/>
            </w14:solidFill>
          </w14:textFill>
        </w:rPr>
      </w:pPr>
    </w:p>
    <w:p w14:paraId="7CA77C4E">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0" w:firstLineChars="0"/>
        <w:jc w:val="both"/>
        <w:textAlignment w:val="auto"/>
        <w:rPr>
          <w:rFonts w:hint="eastAsia" w:ascii="Times New Roman" w:hAnsi="Times New Roman" w:eastAsia="宋体" w:cs="Times New Roman"/>
          <w:b w:val="0"/>
          <w:bCs w:val="0"/>
          <w:color w:val="000000" w:themeColor="text1"/>
          <w:sz w:val="24"/>
          <w:szCs w:val="24"/>
          <w:u w:val="none"/>
          <w:lang w:val="en-US" w:eastAsia="zh-CN"/>
          <w14:textFill>
            <w14:solidFill>
              <w14:schemeClr w14:val="tx1"/>
            </w14:solidFill>
          </w14:textFill>
        </w:rPr>
      </w:pPr>
      <w:r>
        <w:rPr>
          <w:rFonts w:hint="default" w:ascii="Times New Roman" w:hAnsi="Times New Roman" w:eastAsia="宋体" w:cs="Times New Roman"/>
          <w:sz w:val="24"/>
          <w:szCs w:val="24"/>
        </w:rPr>
        <w:t>呼吸与危重症医学科</w:t>
      </w:r>
      <w:r>
        <w:rPr>
          <w:rFonts w:hint="eastAsia" w:ascii="Times New Roman" w:hAnsi="Times New Roman" w:eastAsia="宋体" w:cs="Times New Roman"/>
          <w:sz w:val="24"/>
          <w:szCs w:val="24"/>
          <w:lang w:val="en-US" w:eastAsia="zh-CN"/>
        </w:rPr>
        <w:t>二</w:t>
      </w:r>
      <w:r>
        <w:rPr>
          <w:rFonts w:hint="default" w:ascii="Times New Roman" w:hAnsi="Times New Roman" w:eastAsia="宋体" w:cs="Times New Roman"/>
          <w:sz w:val="24"/>
          <w:szCs w:val="24"/>
        </w:rPr>
        <w:t>科</w:t>
      </w:r>
      <w:r>
        <w:rPr>
          <w:rFonts w:hint="eastAsia" w:ascii="Times New Roman" w:hAnsi="Times New Roman" w:eastAsia="宋体" w:cs="Times New Roman"/>
          <w:color w:val="auto"/>
          <w:kern w:val="0"/>
          <w:sz w:val="24"/>
          <w:szCs w:val="24"/>
          <w:lang w:eastAsia="zh-CN"/>
        </w:rPr>
        <w:t>：</w:t>
      </w:r>
    </w:p>
    <w:p w14:paraId="0443BC30">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科室地址：</w:t>
      </w:r>
      <w:r>
        <w:rPr>
          <w:rFonts w:hint="default" w:ascii="Times New Roman" w:hAnsi="Times New Roman" w:eastAsia="宋体" w:cs="Times New Roman"/>
          <w:sz w:val="24"/>
          <w:szCs w:val="24"/>
          <w:lang w:val="en-US" w:eastAsia="zh-CN"/>
        </w:rPr>
        <w:t>广东省湛江市赤坎区源珠路236号2号楼</w:t>
      </w:r>
      <w:r>
        <w:rPr>
          <w:rFonts w:hint="eastAsia" w:ascii="Times New Roman" w:hAnsi="Times New Roman" w:eastAsia="宋体" w:cs="Times New Roman"/>
          <w:sz w:val="24"/>
          <w:szCs w:val="24"/>
          <w:lang w:val="en-US" w:eastAsia="zh-CN"/>
        </w:rPr>
        <w:t>7</w:t>
      </w:r>
      <w:r>
        <w:rPr>
          <w:rFonts w:hint="default" w:ascii="Times New Roman" w:hAnsi="Times New Roman" w:eastAsia="宋体" w:cs="Times New Roman"/>
          <w:sz w:val="24"/>
          <w:szCs w:val="24"/>
          <w:lang w:val="en-US" w:eastAsia="zh-CN"/>
        </w:rPr>
        <w:t>楼</w:t>
      </w:r>
    </w:p>
    <w:p w14:paraId="0450E879">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专业人员数：</w:t>
      </w:r>
      <w:r>
        <w:rPr>
          <w:rFonts w:hint="default" w:ascii="Times New Roman" w:hAnsi="Times New Roman" w:eastAsia="宋体" w:cs="Times New Roman"/>
          <w:sz w:val="24"/>
          <w:szCs w:val="24"/>
          <w:lang w:val="en-US" w:eastAsia="zh-CN"/>
        </w:rPr>
        <w:t>40</w:t>
      </w:r>
      <w:r>
        <w:rPr>
          <w:rFonts w:hint="default" w:ascii="Times New Roman" w:hAnsi="Times New Roman" w:eastAsia="宋体" w:cs="Times New Roman"/>
          <w:sz w:val="24"/>
          <w:szCs w:val="24"/>
        </w:rPr>
        <w:t>余人</w:t>
      </w:r>
    </w:p>
    <w:p w14:paraId="50E49981">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病床数：</w:t>
      </w:r>
      <w:r>
        <w:rPr>
          <w:rFonts w:hint="eastAsia" w:ascii="Times New Roman" w:hAnsi="Times New Roman" w:eastAsia="宋体" w:cs="Times New Roman"/>
          <w:sz w:val="24"/>
          <w:szCs w:val="24"/>
          <w:lang w:val="en-US" w:eastAsia="zh-CN"/>
        </w:rPr>
        <w:t>66</w:t>
      </w:r>
    </w:p>
    <w:p w14:paraId="4F788F3D">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联系电话（座机或手机）：</w:t>
      </w:r>
      <w:r>
        <w:rPr>
          <w:rFonts w:hint="default" w:ascii="Times New Roman" w:hAnsi="Times New Roman" w:eastAsia="宋体" w:cs="Times New Roman"/>
          <w:sz w:val="24"/>
          <w:szCs w:val="24"/>
          <w:lang w:val="en-US" w:eastAsia="zh-CN"/>
        </w:rPr>
        <w:t>0759</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3157</w:t>
      </w:r>
      <w:r>
        <w:rPr>
          <w:rFonts w:hint="eastAsia" w:ascii="Times New Roman" w:hAnsi="Times New Roman" w:eastAsia="宋体" w:cs="Times New Roman"/>
          <w:sz w:val="24"/>
          <w:szCs w:val="24"/>
          <w:lang w:val="en-US" w:eastAsia="zh-CN"/>
        </w:rPr>
        <w:t>135</w:t>
      </w:r>
      <w:r>
        <w:rPr>
          <w:rFonts w:hint="default" w:ascii="Times New Roman" w:hAnsi="Times New Roman" w:eastAsia="宋体" w:cs="Times New Roman"/>
          <w:sz w:val="24"/>
          <w:szCs w:val="24"/>
        </w:rPr>
        <w:t xml:space="preserve">  </w:t>
      </w:r>
    </w:p>
    <w:p w14:paraId="1611E42D">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邮箱：</w:t>
      </w:r>
      <w:r>
        <w:rPr>
          <w:rFonts w:hint="default" w:ascii="Times New Roman" w:hAnsi="Times New Roman" w:eastAsia="仿宋" w:cs="Times New Roman"/>
          <w:sz w:val="24"/>
          <w:szCs w:val="24"/>
          <w:lang w:val="en-US" w:eastAsia="zh-CN"/>
        </w:rPr>
        <w:t>lhbzjzxrmyy@126.com</w:t>
      </w:r>
    </w:p>
    <w:p w14:paraId="6E0681A3">
      <w:pPr>
        <w:keepNext w:val="0"/>
        <w:keepLines w:val="0"/>
        <w:pageBreakBefore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eastAsia="宋体" w:cs="Times New Roman"/>
          <w:color w:val="auto"/>
          <w:kern w:val="0"/>
          <w:sz w:val="24"/>
          <w:szCs w:val="24"/>
        </w:rPr>
      </w:pPr>
    </w:p>
    <w:p w14:paraId="4E1F5330">
      <w:pPr>
        <w:keepNext w:val="0"/>
        <w:keepLines w:val="0"/>
        <w:pageBreakBefore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auto"/>
          <w:kern w:val="0"/>
          <w:sz w:val="24"/>
          <w:szCs w:val="24"/>
        </w:rPr>
        <w:t>【技术团队】</w:t>
      </w:r>
    </w:p>
    <w:p w14:paraId="6145F471">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呼吸与危重症医学科一科现有主任医师</w:t>
      </w:r>
      <w:r>
        <w:rPr>
          <w:rFonts w:hint="default" w:ascii="Times New Roman" w:hAnsi="Times New Roman" w:eastAsia="宋体" w:cs="Times New Roman"/>
          <w:sz w:val="24"/>
          <w:szCs w:val="24"/>
          <w:lang w:val="en-US" w:eastAsia="zh-CN"/>
        </w:rPr>
        <w:t>4</w:t>
      </w:r>
      <w:r>
        <w:rPr>
          <w:rFonts w:hint="default" w:ascii="Times New Roman" w:hAnsi="Times New Roman" w:eastAsia="宋体" w:cs="Times New Roman"/>
          <w:sz w:val="24"/>
          <w:szCs w:val="24"/>
        </w:rPr>
        <w:t>名，副主任医师</w:t>
      </w:r>
      <w:r>
        <w:rPr>
          <w:rFonts w:hint="eastAsia"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rPr>
        <w:t>名，主治医生</w:t>
      </w:r>
      <w:r>
        <w:rPr>
          <w:rFonts w:hint="eastAsia"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rPr>
        <w:t>名，住院医生</w:t>
      </w:r>
      <w:r>
        <w:rPr>
          <w:rFonts w:hint="default"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rPr>
        <w:t>名，硕士7名，博士1名。省级副主委</w:t>
      </w:r>
      <w:r>
        <w:rPr>
          <w:rFonts w:hint="default" w:ascii="Times New Roman" w:hAnsi="Times New Roman" w:eastAsia="宋体" w:cs="Times New Roman"/>
          <w:sz w:val="24"/>
          <w:szCs w:val="24"/>
          <w:lang w:val="en-US" w:eastAsia="zh-CN"/>
        </w:rPr>
        <w:t>1</w:t>
      </w:r>
      <w:r>
        <w:rPr>
          <w:rFonts w:hint="default" w:ascii="Times New Roman" w:hAnsi="Times New Roman" w:eastAsia="宋体" w:cs="Times New Roman"/>
          <w:sz w:val="24"/>
          <w:szCs w:val="24"/>
        </w:rPr>
        <w:t>人。学科研究方向明确，开放床位6</w:t>
      </w:r>
      <w:r>
        <w:rPr>
          <w:rFonts w:hint="default" w:ascii="Times New Roman" w:hAnsi="Times New Roman" w:eastAsia="宋体" w:cs="Times New Roman"/>
          <w:sz w:val="24"/>
          <w:szCs w:val="24"/>
          <w:lang w:val="en-US" w:eastAsia="zh-CN"/>
        </w:rPr>
        <w:t>8</w:t>
      </w:r>
      <w:r>
        <w:rPr>
          <w:rFonts w:hint="default" w:ascii="Times New Roman" w:hAnsi="Times New Roman" w:eastAsia="宋体" w:cs="Times New Roman"/>
          <w:sz w:val="24"/>
          <w:szCs w:val="24"/>
        </w:rPr>
        <w:t>张。</w:t>
      </w:r>
    </w:p>
    <w:p w14:paraId="310C6BFC">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呼吸与危重症医学科</w:t>
      </w:r>
      <w:r>
        <w:rPr>
          <w:rFonts w:hint="eastAsia" w:ascii="Times New Roman" w:hAnsi="Times New Roman" w:eastAsia="宋体" w:cs="Times New Roman"/>
          <w:sz w:val="24"/>
          <w:szCs w:val="24"/>
          <w:lang w:val="en-US" w:eastAsia="zh-CN"/>
        </w:rPr>
        <w:t>二</w:t>
      </w:r>
      <w:r>
        <w:rPr>
          <w:rFonts w:hint="default" w:ascii="Times New Roman" w:hAnsi="Times New Roman" w:eastAsia="宋体" w:cs="Times New Roman"/>
          <w:sz w:val="24"/>
          <w:szCs w:val="24"/>
        </w:rPr>
        <w:t>科现有主任医师</w:t>
      </w:r>
      <w:r>
        <w:rPr>
          <w:rFonts w:hint="eastAsia"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rPr>
        <w:t>名，副主任医师</w:t>
      </w:r>
      <w:r>
        <w:rPr>
          <w:rFonts w:hint="eastAsia"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rPr>
        <w:t>名，主治医生</w:t>
      </w:r>
      <w:r>
        <w:rPr>
          <w:rFonts w:hint="default" w:ascii="Times New Roman" w:hAnsi="Times New Roman" w:eastAsia="宋体" w:cs="Times New Roman"/>
          <w:sz w:val="24"/>
          <w:szCs w:val="24"/>
          <w:lang w:val="en-US" w:eastAsia="zh-CN"/>
        </w:rPr>
        <w:t>6</w:t>
      </w:r>
      <w:r>
        <w:rPr>
          <w:rFonts w:hint="default" w:ascii="Times New Roman" w:hAnsi="Times New Roman" w:eastAsia="宋体" w:cs="Times New Roman"/>
          <w:sz w:val="24"/>
          <w:szCs w:val="24"/>
        </w:rPr>
        <w:t>名，住院医生</w:t>
      </w:r>
      <w:r>
        <w:rPr>
          <w:rFonts w:hint="default"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rPr>
        <w:t>名，硕士7名。学科研究方向明确，开放床位6</w:t>
      </w:r>
      <w:r>
        <w:rPr>
          <w:rFonts w:hint="eastAsia" w:ascii="Times New Roman" w:hAnsi="Times New Roman" w:eastAsia="宋体" w:cs="Times New Roman"/>
          <w:sz w:val="24"/>
          <w:szCs w:val="24"/>
          <w:lang w:val="en-US" w:eastAsia="zh-CN"/>
        </w:rPr>
        <w:t>6</w:t>
      </w:r>
      <w:r>
        <w:rPr>
          <w:rFonts w:hint="default" w:ascii="Times New Roman" w:hAnsi="Times New Roman" w:eastAsia="宋体" w:cs="Times New Roman"/>
          <w:sz w:val="24"/>
          <w:szCs w:val="24"/>
        </w:rPr>
        <w:t>张</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lang w:val="en-US" w:eastAsia="zh-CN"/>
        </w:rPr>
        <w:t>其中呼吸重症监护床位8张</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rPr>
        <w:t>。</w:t>
      </w:r>
    </w:p>
    <w:p w14:paraId="2E3BA321">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lang w:val="en-US" w:eastAsia="zh-CN"/>
        </w:rPr>
        <w:t>常见病种】</w:t>
      </w:r>
    </w:p>
    <w:p w14:paraId="33076461">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eastAsia"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肺炎</w:t>
      </w:r>
      <w:r>
        <w:rPr>
          <w:rFonts w:hint="eastAsia" w:ascii="Times New Roman" w:hAnsi="Times New Roman" w:eastAsia="宋体" w:cs="Times New Roman"/>
          <w:sz w:val="24"/>
          <w:szCs w:val="24"/>
          <w:lang w:val="en-US" w:eastAsia="zh-CN"/>
        </w:rPr>
        <w:t>：年门诊量约8000人次；</w:t>
      </w:r>
    </w:p>
    <w:p w14:paraId="7ADDDA9B">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left="0"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支气管炎</w:t>
      </w:r>
      <w:r>
        <w:rPr>
          <w:rFonts w:hint="eastAsia" w:ascii="Times New Roman" w:hAnsi="Times New Roman" w:eastAsia="宋体" w:cs="Times New Roman"/>
          <w:sz w:val="24"/>
          <w:szCs w:val="24"/>
          <w:lang w:val="en-US" w:eastAsia="zh-CN"/>
        </w:rPr>
        <w:t>：年门诊量约</w:t>
      </w:r>
      <w:r>
        <w:rPr>
          <w:rFonts w:hint="default" w:ascii="Times New Roman" w:hAnsi="Times New Roman" w:eastAsia="宋体" w:cs="Times New Roman"/>
          <w:sz w:val="24"/>
          <w:szCs w:val="24"/>
          <w:lang w:val="en-US" w:eastAsia="zh-CN"/>
        </w:rPr>
        <w:t>12800</w:t>
      </w:r>
      <w:r>
        <w:rPr>
          <w:rFonts w:hint="eastAsia" w:ascii="Times New Roman" w:hAnsi="Times New Roman" w:eastAsia="宋体" w:cs="Times New Roman"/>
          <w:sz w:val="24"/>
          <w:szCs w:val="24"/>
          <w:lang w:val="en-US" w:eastAsia="zh-CN"/>
        </w:rPr>
        <w:t>人次；</w:t>
      </w:r>
    </w:p>
    <w:p w14:paraId="1542E763">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left="0" w:firstLine="480" w:firstLineChars="200"/>
        <w:jc w:val="both"/>
        <w:textAlignment w:val="auto"/>
        <w:rPr>
          <w:rFonts w:hint="eastAsia"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慢性咳嗽</w:t>
      </w:r>
      <w:r>
        <w:rPr>
          <w:rFonts w:hint="eastAsia" w:ascii="Times New Roman" w:hAnsi="Times New Roman" w:eastAsia="宋体" w:cs="Times New Roman"/>
          <w:sz w:val="24"/>
          <w:szCs w:val="24"/>
          <w:lang w:val="en-US" w:eastAsia="zh-CN"/>
        </w:rPr>
        <w:t>：年门诊量约</w:t>
      </w:r>
      <w:r>
        <w:rPr>
          <w:rFonts w:hint="default" w:ascii="Times New Roman" w:hAnsi="Times New Roman" w:eastAsia="宋体" w:cs="Times New Roman"/>
          <w:sz w:val="24"/>
          <w:szCs w:val="24"/>
          <w:lang w:val="en-US" w:eastAsia="zh-CN"/>
        </w:rPr>
        <w:t>2400</w:t>
      </w:r>
      <w:r>
        <w:rPr>
          <w:rFonts w:hint="eastAsia" w:ascii="Times New Roman" w:hAnsi="Times New Roman" w:eastAsia="宋体" w:cs="Times New Roman"/>
          <w:sz w:val="24"/>
          <w:szCs w:val="24"/>
          <w:lang w:val="en-US" w:eastAsia="zh-CN"/>
        </w:rPr>
        <w:t>人次；</w:t>
      </w:r>
    </w:p>
    <w:p w14:paraId="5C056552">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left="0" w:firstLine="480" w:firstLineChars="200"/>
        <w:jc w:val="both"/>
        <w:textAlignment w:val="auto"/>
        <w:rPr>
          <w:rFonts w:hint="eastAsia"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慢性阻塞性肺疾病</w:t>
      </w:r>
      <w:r>
        <w:rPr>
          <w:rFonts w:hint="eastAsia" w:ascii="Times New Roman" w:hAnsi="Times New Roman" w:eastAsia="宋体" w:cs="Times New Roman"/>
          <w:sz w:val="24"/>
          <w:szCs w:val="24"/>
          <w:lang w:val="en-US" w:eastAsia="zh-CN"/>
        </w:rPr>
        <w:t>：年门诊量约</w:t>
      </w:r>
      <w:r>
        <w:rPr>
          <w:rFonts w:hint="default" w:ascii="Times New Roman" w:hAnsi="Times New Roman" w:eastAsia="宋体" w:cs="Times New Roman"/>
          <w:sz w:val="24"/>
          <w:szCs w:val="24"/>
          <w:lang w:val="en-US" w:eastAsia="zh-CN"/>
        </w:rPr>
        <w:t>8000</w:t>
      </w:r>
      <w:r>
        <w:rPr>
          <w:rFonts w:hint="eastAsia" w:ascii="Times New Roman" w:hAnsi="Times New Roman" w:eastAsia="宋体" w:cs="Times New Roman"/>
          <w:sz w:val="24"/>
          <w:szCs w:val="24"/>
          <w:lang w:val="en-US" w:eastAsia="zh-CN"/>
        </w:rPr>
        <w:t>人次；</w:t>
      </w:r>
    </w:p>
    <w:p w14:paraId="7015F130">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left="0" w:firstLine="480" w:firstLineChars="200"/>
        <w:jc w:val="both"/>
        <w:textAlignment w:val="auto"/>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支气管哮喘：年门诊量约</w:t>
      </w:r>
      <w:r>
        <w:rPr>
          <w:rFonts w:hint="default" w:ascii="Times New Roman" w:hAnsi="Times New Roman" w:eastAsia="宋体" w:cs="Times New Roman"/>
          <w:sz w:val="24"/>
          <w:szCs w:val="24"/>
          <w:lang w:val="en-US" w:eastAsia="zh-CN"/>
        </w:rPr>
        <w:t>3200</w:t>
      </w:r>
      <w:r>
        <w:rPr>
          <w:rFonts w:hint="eastAsia" w:ascii="Times New Roman" w:hAnsi="Times New Roman" w:eastAsia="宋体" w:cs="Times New Roman"/>
          <w:sz w:val="24"/>
          <w:szCs w:val="24"/>
          <w:lang w:val="en-US" w:eastAsia="zh-CN"/>
        </w:rPr>
        <w:t>人次；</w:t>
      </w:r>
    </w:p>
    <w:p w14:paraId="6AD0CCE0">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left="0" w:firstLine="480" w:firstLineChars="200"/>
        <w:jc w:val="both"/>
        <w:textAlignment w:val="auto"/>
        <w:rPr>
          <w:rFonts w:hint="eastAsia"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肺恶性肿瘤：门诊量约</w:t>
      </w:r>
      <w:r>
        <w:rPr>
          <w:rFonts w:hint="default" w:ascii="Times New Roman" w:hAnsi="Times New Roman" w:eastAsia="宋体" w:cs="Times New Roman"/>
          <w:sz w:val="24"/>
          <w:szCs w:val="24"/>
          <w:lang w:val="en-US"/>
        </w:rPr>
        <w:t>1800</w:t>
      </w:r>
      <w:r>
        <w:rPr>
          <w:rFonts w:hint="default" w:ascii="Times New Roman" w:hAnsi="Times New Roman" w:eastAsia="宋体" w:cs="Times New Roman"/>
          <w:sz w:val="24"/>
          <w:szCs w:val="24"/>
        </w:rPr>
        <w:t>人次</w:t>
      </w:r>
      <w:r>
        <w:rPr>
          <w:rFonts w:hint="eastAsia" w:ascii="Times New Roman" w:hAnsi="Times New Roman" w:eastAsia="宋体" w:cs="Times New Roman"/>
          <w:sz w:val="24"/>
          <w:szCs w:val="24"/>
          <w:lang w:eastAsia="zh-CN"/>
        </w:rPr>
        <w:t>。</w:t>
      </w:r>
    </w:p>
    <w:p w14:paraId="2F14F3DB">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76" w:firstLineChars="200"/>
        <w:jc w:val="both"/>
        <w:textAlignment w:val="auto"/>
        <w:rPr>
          <w:rFonts w:hint="default" w:ascii="Times New Roman" w:hAnsi="Times New Roman" w:eastAsia="宋体" w:cs="Times New Roman"/>
          <w:b w:val="0"/>
          <w:bCs w:val="0"/>
          <w:sz w:val="24"/>
          <w:szCs w:val="24"/>
        </w:rPr>
      </w:pPr>
      <w:r>
        <w:rPr>
          <w:rFonts w:hint="default" w:ascii="Times New Roman" w:hAnsi="Times New Roman" w:eastAsia="宋体" w:cs="Times New Roman"/>
          <w:spacing w:val="-1"/>
          <w:kern w:val="2"/>
          <w:sz w:val="24"/>
          <w:szCs w:val="24"/>
          <w:lang w:eastAsia="zh-CN"/>
        </w:rPr>
        <w:t>【</w:t>
      </w:r>
      <w:r>
        <w:rPr>
          <w:rFonts w:hint="default" w:ascii="Times New Roman" w:hAnsi="Times New Roman" w:eastAsia="宋体" w:cs="Times New Roman"/>
          <w:spacing w:val="-1"/>
          <w:kern w:val="2"/>
          <w:sz w:val="24"/>
          <w:szCs w:val="24"/>
          <w:lang w:val="en-US" w:eastAsia="zh-CN"/>
        </w:rPr>
        <w:t>主要研究者信息</w:t>
      </w:r>
      <w:r>
        <w:rPr>
          <w:rFonts w:hint="default" w:ascii="Times New Roman" w:hAnsi="Times New Roman" w:eastAsia="宋体" w:cs="Times New Roman"/>
          <w:spacing w:val="-1"/>
          <w:kern w:val="2"/>
          <w:sz w:val="24"/>
          <w:szCs w:val="24"/>
          <w:lang w:eastAsia="zh-CN"/>
        </w:rPr>
        <w:t>】</w:t>
      </w:r>
      <w:r>
        <w:rPr>
          <w:rFonts w:hint="default" w:ascii="Times New Roman" w:hAnsi="Times New Roman" w:eastAsia="宋体" w:cs="Times New Roman"/>
          <w:b w:val="0"/>
          <w:bCs w:val="0"/>
          <w:sz w:val="24"/>
          <w:szCs w:val="24"/>
        </w:rPr>
        <w:t xml:space="preserve"> </w:t>
      </w:r>
    </w:p>
    <w:p w14:paraId="3077D82B">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default" w:ascii="Times New Roman" w:hAnsi="Times New Roman" w:eastAsia="宋体" w:cs="Times New Roman"/>
          <w:sz w:val="24"/>
          <w:szCs w:val="24"/>
        </w:rPr>
      </w:pPr>
    </w:p>
    <w:p w14:paraId="2929D149">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jc w:val="center"/>
        <w:textAlignment w:val="auto"/>
        <w:rPr>
          <w:rFonts w:hint="default" w:ascii="Times New Roman" w:hAnsi="Times New Roman" w:eastAsia="宋体" w:cs="Times New Roman"/>
          <w:lang w:eastAsia="zh-CN"/>
        </w:rPr>
      </w:pPr>
      <w:r>
        <w:rPr>
          <w:rFonts w:hint="default" w:ascii="Times New Roman" w:hAnsi="Times New Roman" w:eastAsia="宋体" w:cs="Times New Roman"/>
          <w:lang w:eastAsia="zh-CN"/>
        </w:rPr>
        <w:drawing>
          <wp:inline distT="0" distB="0" distL="114300" distR="114300">
            <wp:extent cx="1838325" cy="1876425"/>
            <wp:effectExtent l="0" t="0" r="9525" b="9525"/>
            <wp:docPr id="2" name="图片 2" descr="GCP项目主任图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GCP项目主任图片"/>
                    <pic:cNvPicPr>
                      <a:picLocks noChangeAspect="1"/>
                    </pic:cNvPicPr>
                  </pic:nvPicPr>
                  <pic:blipFill>
                    <a:blip r:embed="rId4"/>
                    <a:stretch>
                      <a:fillRect/>
                    </a:stretch>
                  </pic:blipFill>
                  <pic:spPr>
                    <a:xfrm>
                      <a:off x="0" y="0"/>
                      <a:ext cx="1838325" cy="1876425"/>
                    </a:xfrm>
                    <a:prstGeom prst="rect">
                      <a:avLst/>
                    </a:prstGeom>
                  </pic:spPr>
                </pic:pic>
              </a:graphicData>
            </a:graphic>
          </wp:inline>
        </w:drawing>
      </w:r>
    </w:p>
    <w:p w14:paraId="2165E09C">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jc w:val="center"/>
        <w:textAlignment w:val="auto"/>
        <w:rPr>
          <w:rFonts w:hint="default" w:ascii="Times New Roman" w:hAnsi="Times New Roman" w:eastAsia="宋体" w:cs="Times New Roman"/>
          <w:b w:val="0"/>
          <w:bCs/>
        </w:rPr>
      </w:pPr>
      <w:r>
        <w:rPr>
          <w:rStyle w:val="6"/>
          <w:rFonts w:hint="default" w:ascii="Times New Roman" w:hAnsi="Times New Roman" w:eastAsia="宋体" w:cs="Times New Roman"/>
          <w:b w:val="0"/>
          <w:bCs/>
          <w:sz w:val="24"/>
          <w:szCs w:val="24"/>
        </w:rPr>
        <w:t>姓名：易震南</w:t>
      </w:r>
      <w:r>
        <w:rPr>
          <w:rStyle w:val="6"/>
          <w:rFonts w:hint="default" w:ascii="Times New Roman" w:hAnsi="Times New Roman" w:eastAsia="宋体" w:cs="Times New Roman"/>
          <w:b w:val="0"/>
          <w:bCs/>
          <w:sz w:val="24"/>
          <w:szCs w:val="24"/>
          <w:lang w:val="en-US" w:eastAsia="zh-CN"/>
        </w:rPr>
        <w:t xml:space="preserve">   </w:t>
      </w:r>
      <w:r>
        <w:rPr>
          <w:rStyle w:val="6"/>
          <w:rFonts w:hint="default" w:ascii="Times New Roman" w:hAnsi="Times New Roman" w:eastAsia="宋体" w:cs="Times New Roman"/>
          <w:b w:val="0"/>
          <w:bCs/>
          <w:sz w:val="24"/>
          <w:szCs w:val="24"/>
        </w:rPr>
        <w:t>职务：</w:t>
      </w:r>
      <w:r>
        <w:rPr>
          <w:rFonts w:hint="default" w:ascii="Times New Roman" w:hAnsi="Times New Roman" w:eastAsia="宋体" w:cs="Times New Roman"/>
          <w:lang w:val="en-US" w:eastAsia="zh-CN"/>
        </w:rPr>
        <w:t>呼吸与危重症医学科一科</w:t>
      </w:r>
      <w:r>
        <w:rPr>
          <w:rStyle w:val="6"/>
          <w:rFonts w:hint="default" w:ascii="Times New Roman" w:hAnsi="Times New Roman" w:eastAsia="宋体" w:cs="Times New Roman"/>
          <w:b w:val="0"/>
          <w:bCs/>
          <w:sz w:val="24"/>
          <w:szCs w:val="24"/>
        </w:rPr>
        <w:t>主任</w:t>
      </w:r>
      <w:r>
        <w:rPr>
          <w:rStyle w:val="6"/>
          <w:rFonts w:hint="default" w:ascii="Times New Roman" w:hAnsi="Times New Roman" w:eastAsia="宋体" w:cs="Times New Roman"/>
          <w:b w:val="0"/>
          <w:bCs/>
          <w:sz w:val="24"/>
          <w:szCs w:val="24"/>
          <w:lang w:val="en-US" w:eastAsia="zh-CN"/>
        </w:rPr>
        <w:t xml:space="preserve">   </w:t>
      </w:r>
      <w:r>
        <w:rPr>
          <w:rStyle w:val="6"/>
          <w:rFonts w:hint="default" w:ascii="Times New Roman" w:hAnsi="Times New Roman" w:eastAsia="宋体" w:cs="Times New Roman"/>
          <w:b w:val="0"/>
          <w:bCs/>
          <w:sz w:val="24"/>
          <w:szCs w:val="24"/>
        </w:rPr>
        <w:t>职称：主任医师</w:t>
      </w:r>
    </w:p>
    <w:p w14:paraId="3918A1F8">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center"/>
        <w:textAlignment w:val="auto"/>
        <w:rPr>
          <w:rFonts w:hint="default" w:ascii="Times New Roman" w:hAnsi="Times New Roman" w:eastAsia="宋体" w:cs="Times New Roman"/>
        </w:rPr>
      </w:pPr>
      <w:r>
        <w:rPr>
          <w:rStyle w:val="6"/>
          <w:rFonts w:hint="default" w:ascii="Times New Roman" w:hAnsi="Times New Roman" w:eastAsia="宋体" w:cs="Times New Roman"/>
          <w:b w:val="0"/>
          <w:bCs/>
          <w:sz w:val="24"/>
          <w:szCs w:val="24"/>
        </w:rPr>
        <w:t>联系电话（座机或手机）：</w:t>
      </w:r>
      <w:r>
        <w:rPr>
          <w:rStyle w:val="6"/>
          <w:rFonts w:hint="default" w:ascii="Times New Roman" w:hAnsi="Times New Roman" w:eastAsia="宋体" w:cs="Times New Roman"/>
          <w:b w:val="0"/>
          <w:bCs/>
          <w:sz w:val="24"/>
          <w:szCs w:val="24"/>
          <w:lang w:val="en-US" w:eastAsia="zh-CN"/>
        </w:rPr>
        <w:t>0759</w:t>
      </w:r>
      <w:r>
        <w:rPr>
          <w:rStyle w:val="6"/>
          <w:rFonts w:hint="default" w:ascii="Times New Roman" w:hAnsi="Times New Roman" w:eastAsia="宋体" w:cs="Times New Roman"/>
          <w:b w:val="0"/>
          <w:bCs/>
          <w:sz w:val="24"/>
          <w:szCs w:val="24"/>
        </w:rPr>
        <w:t>-</w:t>
      </w:r>
      <w:r>
        <w:rPr>
          <w:rStyle w:val="6"/>
          <w:rFonts w:hint="default" w:ascii="Times New Roman" w:hAnsi="Times New Roman" w:eastAsia="宋体" w:cs="Times New Roman"/>
          <w:b w:val="0"/>
          <w:bCs/>
          <w:sz w:val="24"/>
          <w:szCs w:val="24"/>
          <w:lang w:val="en-US" w:eastAsia="zh-CN"/>
        </w:rPr>
        <w:t>3157451</w:t>
      </w:r>
      <w:r>
        <w:rPr>
          <w:rStyle w:val="6"/>
          <w:rFonts w:hint="default" w:ascii="Times New Roman" w:hAnsi="Times New Roman" w:eastAsia="宋体" w:cs="Times New Roman"/>
          <w:b w:val="0"/>
          <w:bCs/>
          <w:sz w:val="24"/>
          <w:szCs w:val="24"/>
        </w:rPr>
        <w:t>  邮箱：</w:t>
      </w:r>
      <w:r>
        <w:rPr>
          <w:rStyle w:val="6"/>
          <w:rFonts w:hint="default" w:ascii="Times New Roman" w:hAnsi="Times New Roman" w:eastAsia="宋体" w:cs="Times New Roman"/>
          <w:b w:val="0"/>
          <w:bCs/>
          <w:sz w:val="24"/>
          <w:szCs w:val="24"/>
          <w:lang w:val="en-US" w:eastAsia="zh-CN"/>
        </w:rPr>
        <w:t>824811157</w:t>
      </w:r>
      <w:r>
        <w:rPr>
          <w:rStyle w:val="6"/>
          <w:rFonts w:hint="default" w:ascii="Times New Roman" w:hAnsi="Times New Roman" w:eastAsia="宋体" w:cs="Times New Roman"/>
          <w:b w:val="0"/>
          <w:bCs/>
          <w:sz w:val="24"/>
          <w:szCs w:val="24"/>
        </w:rPr>
        <w:t>@</w:t>
      </w:r>
      <w:r>
        <w:rPr>
          <w:rStyle w:val="6"/>
          <w:rFonts w:hint="default" w:ascii="Times New Roman" w:hAnsi="Times New Roman" w:eastAsia="宋体" w:cs="Times New Roman"/>
          <w:b w:val="0"/>
          <w:bCs/>
          <w:sz w:val="24"/>
          <w:szCs w:val="24"/>
          <w:lang w:val="en-US" w:eastAsia="zh-CN"/>
        </w:rPr>
        <w:t>qq</w:t>
      </w:r>
      <w:r>
        <w:rPr>
          <w:rStyle w:val="6"/>
          <w:rFonts w:hint="default" w:ascii="Times New Roman" w:hAnsi="Times New Roman" w:eastAsia="宋体" w:cs="Times New Roman"/>
          <w:b w:val="0"/>
          <w:bCs/>
          <w:sz w:val="24"/>
          <w:szCs w:val="24"/>
        </w:rPr>
        <w:t>.com</w:t>
      </w:r>
    </w:p>
    <w:p w14:paraId="44FCE25C">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lang w:eastAsia="zh-CN"/>
        </w:rPr>
      </w:pPr>
      <w:r>
        <w:rPr>
          <w:rFonts w:hint="default" w:ascii="Times New Roman" w:hAnsi="Times New Roman" w:eastAsia="宋体" w:cs="Times New Roman"/>
        </w:rPr>
        <w:t>个人简介：</w:t>
      </w:r>
      <w:r>
        <w:rPr>
          <w:rFonts w:hint="default" w:ascii="Times New Roman" w:hAnsi="Times New Roman" w:eastAsia="宋体" w:cs="Times New Roman"/>
          <w:lang w:val="en-US" w:eastAsia="zh-CN"/>
        </w:rPr>
        <w:t>呼吸与危重症医学科一科</w:t>
      </w:r>
      <w:r>
        <w:rPr>
          <w:rFonts w:hint="default" w:ascii="Times New Roman" w:hAnsi="Times New Roman" w:eastAsia="宋体" w:cs="Times New Roman"/>
        </w:rPr>
        <w:t>主任、学科带头人，教授、主任医师。19</w:t>
      </w:r>
      <w:r>
        <w:rPr>
          <w:rFonts w:hint="default" w:ascii="Times New Roman" w:hAnsi="Times New Roman" w:eastAsia="宋体" w:cs="Times New Roman"/>
          <w:lang w:val="en-US" w:eastAsia="zh-CN"/>
        </w:rPr>
        <w:t>98</w:t>
      </w:r>
      <w:r>
        <w:rPr>
          <w:rFonts w:hint="default" w:ascii="Times New Roman" w:hAnsi="Times New Roman" w:eastAsia="宋体" w:cs="Times New Roman"/>
        </w:rPr>
        <w:t>年毕业于</w:t>
      </w:r>
      <w:r>
        <w:rPr>
          <w:rFonts w:hint="default" w:ascii="Times New Roman" w:hAnsi="Times New Roman" w:eastAsia="宋体" w:cs="Times New Roman"/>
          <w:lang w:val="en-US" w:eastAsia="zh-CN"/>
        </w:rPr>
        <w:t>广东医学院</w:t>
      </w:r>
      <w:r>
        <w:rPr>
          <w:rFonts w:hint="default" w:ascii="Times New Roman" w:hAnsi="Times New Roman" w:eastAsia="宋体" w:cs="Times New Roman"/>
        </w:rPr>
        <w:t>，</w:t>
      </w:r>
      <w:r>
        <w:rPr>
          <w:rFonts w:hint="default" w:ascii="Times New Roman" w:hAnsi="Times New Roman" w:eastAsia="宋体" w:cs="Times New Roman"/>
          <w:lang w:val="en-US" w:eastAsia="zh-CN"/>
        </w:rPr>
        <w:t>2004年</w:t>
      </w:r>
      <w:r>
        <w:rPr>
          <w:rFonts w:hint="default" w:ascii="Times New Roman" w:hAnsi="Times New Roman" w:eastAsia="宋体" w:cs="Times New Roman"/>
        </w:rPr>
        <w:t>获</w:t>
      </w:r>
      <w:r>
        <w:rPr>
          <w:rFonts w:hint="default" w:ascii="Times New Roman" w:hAnsi="Times New Roman" w:eastAsia="宋体" w:cs="Times New Roman"/>
          <w:lang w:val="en-US" w:eastAsia="zh-CN"/>
        </w:rPr>
        <w:t>广东医科大学内科学硕士研究生，自2021年担任呼吸与危重症医学科一科学科带头人。</w:t>
      </w:r>
      <w:r>
        <w:rPr>
          <w:rFonts w:hint="default" w:ascii="Times New Roman" w:hAnsi="Times New Roman" w:eastAsia="宋体" w:cs="Times New Roman"/>
        </w:rPr>
        <w:t>长期从事</w:t>
      </w:r>
      <w:r>
        <w:rPr>
          <w:rFonts w:hint="default" w:ascii="Times New Roman" w:hAnsi="Times New Roman" w:eastAsia="宋体" w:cs="Times New Roman"/>
          <w:lang w:val="en-US" w:eastAsia="zh-CN"/>
        </w:rPr>
        <w:t>呼吸内镜及介入</w:t>
      </w:r>
      <w:r>
        <w:rPr>
          <w:rFonts w:hint="default" w:ascii="Times New Roman" w:hAnsi="Times New Roman" w:eastAsia="宋体" w:cs="Times New Roman"/>
        </w:rPr>
        <w:t>的临床与研究工作，多次在</w:t>
      </w:r>
      <w:r>
        <w:rPr>
          <w:rFonts w:hint="default" w:ascii="Times New Roman" w:hAnsi="Times New Roman" w:eastAsia="宋体" w:cs="Times New Roman"/>
          <w:lang w:val="en-US" w:eastAsia="zh-CN"/>
        </w:rPr>
        <w:t>国内外（</w:t>
      </w:r>
      <w:r>
        <w:rPr>
          <w:rFonts w:hint="default" w:ascii="Times New Roman" w:hAnsi="Times New Roman" w:eastAsia="宋体" w:cs="Times New Roman"/>
        </w:rPr>
        <w:t>欧洲</w:t>
      </w:r>
      <w:r>
        <w:rPr>
          <w:rFonts w:hint="default" w:ascii="Times New Roman" w:hAnsi="Times New Roman" w:eastAsia="宋体" w:cs="Times New Roman"/>
          <w:lang w:eastAsia="zh-CN"/>
        </w:rPr>
        <w:t>）</w:t>
      </w:r>
      <w:r>
        <w:rPr>
          <w:rFonts w:hint="default" w:ascii="Times New Roman" w:hAnsi="Times New Roman" w:eastAsia="宋体" w:cs="Times New Roman"/>
        </w:rPr>
        <w:t>研习</w:t>
      </w:r>
      <w:r>
        <w:rPr>
          <w:rFonts w:hint="default" w:ascii="Times New Roman" w:hAnsi="Times New Roman" w:eastAsia="宋体" w:cs="Times New Roman"/>
          <w:lang w:val="en-US" w:eastAsia="zh-CN"/>
        </w:rPr>
        <w:t>呼吸</w:t>
      </w:r>
      <w:r>
        <w:rPr>
          <w:rFonts w:hint="default" w:ascii="Times New Roman" w:hAnsi="Times New Roman" w:eastAsia="宋体" w:cs="Times New Roman"/>
        </w:rPr>
        <w:t>内镜技术，</w:t>
      </w:r>
      <w:r>
        <w:rPr>
          <w:rFonts w:hint="default" w:ascii="Times New Roman" w:hAnsi="Times New Roman" w:eastAsia="宋体" w:cs="Times New Roman"/>
          <w:sz w:val="24"/>
          <w:szCs w:val="24"/>
        </w:rPr>
        <w:t>能开展经硬镜下硅酮支架置入术、超声支气管镜诊断及复杂气道介入治疗、气道瘘口封堵、气管肿瘤切除、良、恶性气道狭窄消融、顽固性气胸、内科胸腔镜</w:t>
      </w:r>
      <w:r>
        <w:rPr>
          <w:rFonts w:hint="default" w:ascii="Times New Roman" w:hAnsi="Times New Roman" w:eastAsia="宋体" w:cs="Times New Roman"/>
          <w:sz w:val="24"/>
          <w:szCs w:val="24"/>
          <w:lang w:val="en-US" w:eastAsia="zh-CN"/>
        </w:rPr>
        <w:t>等</w:t>
      </w:r>
      <w:r>
        <w:rPr>
          <w:rFonts w:hint="default" w:ascii="Times New Roman" w:hAnsi="Times New Roman" w:eastAsia="宋体" w:cs="Times New Roman"/>
          <w:lang w:val="en-US" w:eastAsia="zh-CN"/>
        </w:rPr>
        <w:t>呼吸内镜技术，</w:t>
      </w:r>
      <w:r>
        <w:rPr>
          <w:rFonts w:hint="default" w:ascii="Times New Roman" w:hAnsi="Times New Roman" w:eastAsia="宋体" w:cs="Times New Roman"/>
        </w:rPr>
        <w:t>具有丰富的临床经验，近</w:t>
      </w:r>
      <w:r>
        <w:rPr>
          <w:rFonts w:hint="default" w:ascii="Times New Roman" w:hAnsi="Times New Roman" w:eastAsia="宋体" w:cs="Times New Roman"/>
          <w:lang w:val="en-US" w:eastAsia="zh-CN"/>
        </w:rPr>
        <w:t>3</w:t>
      </w:r>
      <w:r>
        <w:rPr>
          <w:rFonts w:hint="default" w:ascii="Times New Roman" w:hAnsi="Times New Roman" w:eastAsia="宋体" w:cs="Times New Roman"/>
        </w:rPr>
        <w:t>年来完成内镜诊疗操作超过</w:t>
      </w:r>
      <w:r>
        <w:rPr>
          <w:rFonts w:hint="default" w:ascii="Times New Roman" w:hAnsi="Times New Roman" w:eastAsia="宋体" w:cs="Times New Roman"/>
          <w:lang w:val="en-US" w:eastAsia="zh-CN"/>
        </w:rPr>
        <w:t>4</w:t>
      </w:r>
      <w:r>
        <w:rPr>
          <w:rFonts w:hint="default" w:ascii="Times New Roman" w:hAnsi="Times New Roman" w:eastAsia="宋体" w:cs="Times New Roman"/>
        </w:rPr>
        <w:t>000例</w:t>
      </w:r>
      <w:r>
        <w:rPr>
          <w:rFonts w:hint="default" w:ascii="Times New Roman" w:hAnsi="Times New Roman" w:eastAsia="宋体" w:cs="Times New Roman"/>
          <w:lang w:eastAsia="zh-CN"/>
        </w:rPr>
        <w:t>。</w:t>
      </w:r>
      <w:r>
        <w:rPr>
          <w:rFonts w:hint="default" w:ascii="Times New Roman" w:hAnsi="Times New Roman" w:eastAsia="宋体" w:cs="Times New Roman"/>
          <w:lang w:val="en-US" w:eastAsia="zh-CN"/>
        </w:rPr>
        <w:t>曾获得省级科研课题2项、广东省卫生厅科技项目1项、湛江市市级课题2项，曾获得湛江市科技进步奖二等奖、三等奖各一项。</w:t>
      </w:r>
      <w:r>
        <w:rPr>
          <w:rFonts w:hint="default" w:ascii="Times New Roman" w:hAnsi="Times New Roman" w:eastAsia="宋体" w:cs="Times New Roman"/>
        </w:rPr>
        <w:t>学术任职包括广东省医学会呼吸内镜与呼吸介入学分会副主任委员</w:t>
      </w:r>
      <w:r>
        <w:rPr>
          <w:rFonts w:hint="default" w:ascii="Times New Roman" w:hAnsi="Times New Roman" w:eastAsia="宋体" w:cs="Times New Roman"/>
          <w:lang w:eastAsia="zh-CN"/>
        </w:rPr>
        <w:t>、</w:t>
      </w:r>
      <w:r>
        <w:rPr>
          <w:rFonts w:hint="default" w:ascii="Times New Roman" w:hAnsi="Times New Roman" w:eastAsia="宋体" w:cs="Times New Roman"/>
        </w:rPr>
        <w:t>广东省胸部疾病学会呼吸介入专业委员会副主任委员</w:t>
      </w:r>
      <w:r>
        <w:rPr>
          <w:rFonts w:hint="default" w:ascii="Times New Roman" w:hAnsi="Times New Roman" w:eastAsia="宋体" w:cs="Times New Roman"/>
          <w:lang w:eastAsia="zh-CN"/>
        </w:rPr>
        <w:t>、</w:t>
      </w:r>
      <w:r>
        <w:rPr>
          <w:rFonts w:hint="default" w:ascii="Times New Roman" w:hAnsi="Times New Roman" w:eastAsia="宋体" w:cs="Times New Roman"/>
        </w:rPr>
        <w:t>湛江市医院协会呼吸病管理委员会主任委员</w:t>
      </w:r>
      <w:r>
        <w:rPr>
          <w:rFonts w:hint="default" w:ascii="Times New Roman" w:hAnsi="Times New Roman" w:eastAsia="宋体" w:cs="Times New Roman"/>
          <w:lang w:eastAsia="zh-CN"/>
        </w:rPr>
        <w:t>、</w:t>
      </w:r>
      <w:r>
        <w:rPr>
          <w:rFonts w:hint="default" w:ascii="Times New Roman" w:hAnsi="Times New Roman" w:eastAsia="宋体" w:cs="Times New Roman"/>
        </w:rPr>
        <w:t>广东医学会呼吸病学专业委员会委员</w:t>
      </w:r>
      <w:r>
        <w:rPr>
          <w:rFonts w:hint="default" w:ascii="Times New Roman" w:hAnsi="Times New Roman" w:eastAsia="宋体" w:cs="Times New Roman"/>
          <w:lang w:eastAsia="zh-CN"/>
        </w:rPr>
        <w:t>、</w:t>
      </w:r>
      <w:r>
        <w:rPr>
          <w:rFonts w:hint="default" w:ascii="Times New Roman" w:hAnsi="Times New Roman" w:eastAsia="宋体" w:cs="Times New Roman"/>
        </w:rPr>
        <w:t>广东省临床医学会呼吸病学专业委员会常务委员</w:t>
      </w:r>
      <w:r>
        <w:rPr>
          <w:rFonts w:hint="default" w:ascii="Times New Roman" w:hAnsi="Times New Roman" w:eastAsia="宋体" w:cs="Times New Roman"/>
          <w:lang w:eastAsia="zh-CN"/>
        </w:rPr>
        <w:t>、</w:t>
      </w:r>
      <w:r>
        <w:rPr>
          <w:rFonts w:hint="default" w:ascii="Times New Roman" w:hAnsi="Times New Roman" w:eastAsia="宋体" w:cs="Times New Roman"/>
        </w:rPr>
        <w:t>广东省胸部疾病学会肿瘤急危重症专业委员会常务委员</w:t>
      </w:r>
      <w:r>
        <w:rPr>
          <w:rFonts w:hint="default" w:ascii="Times New Roman" w:hAnsi="Times New Roman" w:eastAsia="宋体" w:cs="Times New Roman"/>
          <w:lang w:eastAsia="zh-CN"/>
        </w:rPr>
        <w:t>、</w:t>
      </w:r>
      <w:r>
        <w:rPr>
          <w:rFonts w:hint="default" w:ascii="Times New Roman" w:hAnsi="Times New Roman" w:eastAsia="宋体" w:cs="Times New Roman"/>
        </w:rPr>
        <w:t>广州抗癌协会介入呼吸病学专业委员会常务委员</w:t>
      </w:r>
      <w:r>
        <w:rPr>
          <w:rFonts w:hint="default" w:ascii="Times New Roman" w:hAnsi="Times New Roman" w:eastAsia="宋体" w:cs="Times New Roman"/>
          <w:lang w:eastAsia="zh-CN"/>
        </w:rPr>
        <w:t>、</w:t>
      </w:r>
      <w:r>
        <w:rPr>
          <w:rFonts w:hint="default" w:ascii="Times New Roman" w:hAnsi="Times New Roman" w:eastAsia="宋体" w:cs="Times New Roman"/>
        </w:rPr>
        <w:t>粤西呼吸肿瘤与介入专科联盟常务副主席</w:t>
      </w:r>
      <w:r>
        <w:rPr>
          <w:rFonts w:hint="default" w:ascii="Times New Roman" w:hAnsi="Times New Roman" w:eastAsia="宋体" w:cs="Times New Roman"/>
          <w:lang w:eastAsia="zh-CN"/>
        </w:rPr>
        <w:t>、</w:t>
      </w:r>
      <w:r>
        <w:rPr>
          <w:rFonts w:hint="default" w:ascii="Times New Roman" w:hAnsi="Times New Roman" w:eastAsia="宋体" w:cs="Times New Roman"/>
        </w:rPr>
        <w:t>海峡两岸海西呼吸病介入分会常务委员</w:t>
      </w:r>
      <w:r>
        <w:rPr>
          <w:rFonts w:hint="default" w:ascii="Times New Roman" w:hAnsi="Times New Roman" w:eastAsia="宋体" w:cs="Times New Roman"/>
          <w:lang w:eastAsia="zh-CN"/>
        </w:rPr>
        <w:t>、</w:t>
      </w:r>
      <w:r>
        <w:rPr>
          <w:rFonts w:hint="default" w:ascii="Times New Roman" w:hAnsi="Times New Roman" w:eastAsia="宋体" w:cs="Times New Roman"/>
        </w:rPr>
        <w:t>湛江医学会肺部肿瘤专业委员会常务委员</w:t>
      </w:r>
      <w:r>
        <w:rPr>
          <w:rFonts w:hint="default" w:ascii="Times New Roman" w:hAnsi="Times New Roman" w:eastAsia="宋体" w:cs="Times New Roman"/>
          <w:lang w:eastAsia="zh-CN"/>
        </w:rPr>
        <w:t>、</w:t>
      </w:r>
      <w:r>
        <w:rPr>
          <w:rFonts w:hint="default" w:ascii="Times New Roman" w:hAnsi="Times New Roman" w:eastAsia="宋体" w:cs="Times New Roman"/>
        </w:rPr>
        <w:t>湛江市预防医学会抗感染分会常务委员</w:t>
      </w:r>
      <w:r>
        <w:rPr>
          <w:rFonts w:hint="default" w:ascii="Times New Roman" w:hAnsi="Times New Roman" w:eastAsia="宋体" w:cs="Times New Roman"/>
          <w:lang w:eastAsia="zh-CN"/>
        </w:rPr>
        <w:t>。</w:t>
      </w:r>
    </w:p>
    <w:p w14:paraId="5A812366">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lang w:val="en-US" w:eastAsia="zh-CN"/>
        </w:rPr>
      </w:pPr>
      <w:r>
        <w:rPr>
          <w:rFonts w:hint="default" w:ascii="Times New Roman" w:hAnsi="Times New Roman" w:eastAsia="宋体" w:cs="Times New Roman"/>
          <w:sz w:val="24"/>
          <w:szCs w:val="24"/>
        </w:rPr>
        <w:t>主要研究方向（意向承接试验专业方向或病种）：</w:t>
      </w:r>
      <w:r>
        <w:rPr>
          <w:rFonts w:hint="default" w:ascii="Times New Roman" w:hAnsi="Times New Roman" w:eastAsia="宋体" w:cs="Times New Roman"/>
          <w:sz w:val="24"/>
          <w:szCs w:val="24"/>
          <w:lang w:val="en-US" w:eastAsia="zh-CN"/>
        </w:rPr>
        <w:t>呼吸与危重症医学科相关疾病</w:t>
      </w:r>
    </w:p>
    <w:p w14:paraId="3DA3437D">
      <w:pPr>
        <w:keepNext w:val="0"/>
        <w:keepLines w:val="0"/>
        <w:pageBreakBefore w:val="0"/>
        <w:widowControl/>
        <w:kinsoku/>
        <w:wordWrap/>
        <w:overflowPunct/>
        <w:topLinePunct w:val="0"/>
        <w:autoSpaceDE/>
        <w:autoSpaceDN/>
        <w:bidi w:val="0"/>
        <w:adjustRightInd/>
        <w:snapToGrid/>
        <w:spacing w:before="180" w:beforeAutospacing="0" w:after="180" w:afterAutospacing="0" w:line="360" w:lineRule="auto"/>
        <w:ind w:firstLine="480" w:firstLineChars="200"/>
        <w:jc w:val="left"/>
        <w:textAlignment w:val="auto"/>
        <w:rPr>
          <w:rFonts w:hint="default" w:ascii="Times New Roman" w:hAnsi="Times New Roman" w:eastAsia="宋体" w:cs="Times New Roman"/>
          <w:color w:val="000000"/>
          <w:w w:val="90"/>
          <w:sz w:val="24"/>
          <w:szCs w:val="24"/>
        </w:rPr>
      </w:pPr>
      <w:r>
        <w:rPr>
          <w:rFonts w:hint="default" w:ascii="Times New Roman" w:hAnsi="Times New Roman" w:eastAsia="宋体" w:cs="Times New Roman"/>
          <w:sz w:val="24"/>
          <w:szCs w:val="24"/>
          <w:lang w:val="en-US" w:eastAsia="zh-CN"/>
        </w:rPr>
        <w:t>【参与研究】</w:t>
      </w:r>
    </w:p>
    <w:tbl>
      <w:tblPr>
        <w:tblStyle w:val="4"/>
        <w:tblW w:w="8551"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765"/>
        <w:gridCol w:w="5970"/>
        <w:gridCol w:w="1816"/>
      </w:tblGrid>
      <w:tr w14:paraId="345926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735" w:type="dxa"/>
            <w:tcBorders>
              <w:top w:val="single" w:color="auto" w:sz="6" w:space="0"/>
              <w:left w:val="single" w:color="auto" w:sz="6" w:space="0"/>
              <w:bottom w:val="single" w:color="auto" w:sz="6" w:space="0"/>
              <w:right w:val="single" w:color="auto" w:sz="6" w:space="0"/>
            </w:tcBorders>
            <w:shd w:val="clear" w:color="auto" w:fill="auto"/>
            <w:noWrap/>
            <w:tcMar>
              <w:left w:w="105" w:type="dxa"/>
              <w:right w:w="105" w:type="dxa"/>
            </w:tcMar>
            <w:vAlign w:val="center"/>
          </w:tcPr>
          <w:p w14:paraId="483CEDF4">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b/>
                <w:bCs/>
              </w:rPr>
            </w:pPr>
            <w:r>
              <w:rPr>
                <w:rFonts w:hint="default" w:ascii="Times New Roman" w:hAnsi="Times New Roman" w:eastAsia="宋体" w:cs="Times New Roman"/>
                <w:b/>
                <w:bCs/>
                <w:color w:val="000000"/>
                <w:sz w:val="24"/>
                <w:szCs w:val="24"/>
              </w:rPr>
              <w:t>No.</w:t>
            </w:r>
          </w:p>
        </w:tc>
        <w:tc>
          <w:tcPr>
            <w:tcW w:w="5993"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A3ED8F8">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b/>
                <w:bCs/>
              </w:rPr>
            </w:pPr>
            <w:r>
              <w:rPr>
                <w:rFonts w:hint="default" w:ascii="Times New Roman" w:hAnsi="Times New Roman" w:eastAsia="宋体" w:cs="Times New Roman"/>
                <w:b/>
                <w:bCs/>
                <w:color w:val="000000"/>
                <w:sz w:val="24"/>
                <w:szCs w:val="24"/>
              </w:rPr>
              <w:t>项目名称</w:t>
            </w:r>
          </w:p>
        </w:tc>
        <w:tc>
          <w:tcPr>
            <w:tcW w:w="1823"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660D7EB7">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b/>
                <w:bCs/>
                <w:color w:val="000000"/>
                <w:sz w:val="24"/>
                <w:szCs w:val="24"/>
                <w:lang w:val="en-US" w:eastAsia="zh-CN"/>
              </w:rPr>
            </w:pPr>
            <w:r>
              <w:rPr>
                <w:rFonts w:hint="eastAsia" w:ascii="Times New Roman" w:hAnsi="Times New Roman" w:eastAsia="宋体" w:cs="Times New Roman"/>
                <w:b/>
                <w:bCs/>
                <w:color w:val="000000"/>
                <w:sz w:val="24"/>
                <w:szCs w:val="24"/>
                <w:lang w:val="en-US" w:eastAsia="zh-CN"/>
              </w:rPr>
              <w:t>备注</w:t>
            </w:r>
          </w:p>
        </w:tc>
      </w:tr>
      <w:tr w14:paraId="56FC7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73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7B8D6553">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1</w:t>
            </w:r>
          </w:p>
        </w:tc>
        <w:tc>
          <w:tcPr>
            <w:tcW w:w="5993" w:type="dxa"/>
            <w:tcBorders>
              <w:top w:val="nil"/>
              <w:left w:val="nil"/>
              <w:bottom w:val="single" w:color="auto" w:sz="6" w:space="0"/>
              <w:right w:val="single" w:color="auto" w:sz="6" w:space="0"/>
            </w:tcBorders>
            <w:shd w:val="clear" w:color="auto" w:fill="auto"/>
            <w:tcMar>
              <w:left w:w="105" w:type="dxa"/>
              <w:right w:w="105" w:type="dxa"/>
            </w:tcMar>
            <w:vAlign w:val="center"/>
          </w:tcPr>
          <w:p w14:paraId="20F9A593">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评价口服苹果酸奈诺沙星（Nemonoxacin）治疗成人社区获得性肺炎患者的有效性和安全性的多中心IV期临床研究</w:t>
            </w:r>
          </w:p>
        </w:tc>
        <w:tc>
          <w:tcPr>
            <w:tcW w:w="1823" w:type="dxa"/>
            <w:tcBorders>
              <w:top w:val="nil"/>
              <w:left w:val="nil"/>
              <w:bottom w:val="single" w:color="auto" w:sz="6" w:space="0"/>
              <w:right w:val="single" w:color="auto" w:sz="6" w:space="0"/>
            </w:tcBorders>
            <w:shd w:val="clear" w:color="auto" w:fill="auto"/>
            <w:tcMar>
              <w:left w:w="105" w:type="dxa"/>
              <w:right w:w="105" w:type="dxa"/>
            </w:tcMar>
            <w:vAlign w:val="center"/>
          </w:tcPr>
          <w:p w14:paraId="79714D72">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入组：8例</w:t>
            </w:r>
          </w:p>
        </w:tc>
      </w:tr>
      <w:tr w14:paraId="653C8E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0" w:hRule="atLeast"/>
          <w:tblCellSpacing w:w="0" w:type="dxa"/>
          <w:jc w:val="center"/>
        </w:trPr>
        <w:tc>
          <w:tcPr>
            <w:tcW w:w="73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5AD48828">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2</w:t>
            </w:r>
          </w:p>
        </w:tc>
        <w:tc>
          <w:tcPr>
            <w:tcW w:w="5993" w:type="dxa"/>
            <w:tcBorders>
              <w:top w:val="nil"/>
              <w:left w:val="nil"/>
              <w:bottom w:val="single" w:color="auto" w:sz="6" w:space="0"/>
              <w:right w:val="single" w:color="auto" w:sz="6" w:space="0"/>
            </w:tcBorders>
            <w:shd w:val="clear" w:color="auto" w:fill="auto"/>
            <w:tcMar>
              <w:left w:w="105" w:type="dxa"/>
              <w:right w:w="105" w:type="dxa"/>
            </w:tcMar>
            <w:vAlign w:val="center"/>
          </w:tcPr>
          <w:p w14:paraId="1BDE91A2">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以帕拉米韦氯化钠注射液为对照评估帕拉米韦吸入溶液缓解流感样症状的有效性及安全性 —多中心、随机、双盲双模拟、阳性平行对照、非劣效试验</w:t>
            </w:r>
          </w:p>
        </w:tc>
        <w:tc>
          <w:tcPr>
            <w:tcW w:w="1823" w:type="dxa"/>
            <w:tcBorders>
              <w:top w:val="nil"/>
              <w:left w:val="nil"/>
              <w:bottom w:val="single" w:color="auto" w:sz="6" w:space="0"/>
              <w:right w:val="single" w:color="auto" w:sz="6" w:space="0"/>
            </w:tcBorders>
            <w:shd w:val="clear" w:color="auto" w:fill="auto"/>
            <w:tcMar>
              <w:left w:w="105" w:type="dxa"/>
              <w:right w:w="105" w:type="dxa"/>
            </w:tcMar>
            <w:vAlign w:val="center"/>
          </w:tcPr>
          <w:p w14:paraId="46BA4FB4">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eastAsia" w:ascii="Times New Roman" w:hAnsi="Times New Roman" w:eastAsia="宋体" w:cs="Times New Roman"/>
                <w:lang w:val="en-US" w:eastAsia="zh-CN"/>
              </w:rPr>
              <w:t>入组：64例</w:t>
            </w:r>
          </w:p>
        </w:tc>
      </w:tr>
      <w:tr w14:paraId="382BA8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50" w:hRule="atLeast"/>
          <w:tblCellSpacing w:w="0" w:type="dxa"/>
          <w:jc w:val="center"/>
        </w:trPr>
        <w:tc>
          <w:tcPr>
            <w:tcW w:w="73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0BEFE727">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3</w:t>
            </w:r>
          </w:p>
        </w:tc>
        <w:tc>
          <w:tcPr>
            <w:tcW w:w="5993" w:type="dxa"/>
            <w:tcBorders>
              <w:top w:val="nil"/>
              <w:left w:val="nil"/>
              <w:bottom w:val="single" w:color="auto" w:sz="6" w:space="0"/>
              <w:right w:val="single" w:color="auto" w:sz="6" w:space="0"/>
            </w:tcBorders>
            <w:shd w:val="clear" w:color="auto" w:fill="auto"/>
            <w:tcMar>
              <w:left w:w="105" w:type="dxa"/>
              <w:right w:w="105" w:type="dxa"/>
            </w:tcMar>
            <w:vAlign w:val="center"/>
          </w:tcPr>
          <w:p w14:paraId="2CDDEC9F">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spacing w:val="3"/>
              </w:rPr>
              <w:t>评价沙美特罗替卡松粉吸入剂治疗成人支气管哮喘临床有效性和安全性的多中心、随机、盲法、阳性药物平行对照III期临床试验</w:t>
            </w:r>
          </w:p>
        </w:tc>
        <w:tc>
          <w:tcPr>
            <w:tcW w:w="1823" w:type="dxa"/>
            <w:tcBorders>
              <w:top w:val="nil"/>
              <w:left w:val="nil"/>
              <w:bottom w:val="single" w:color="auto" w:sz="6" w:space="0"/>
              <w:right w:val="single" w:color="auto" w:sz="6" w:space="0"/>
            </w:tcBorders>
            <w:shd w:val="clear" w:color="auto" w:fill="auto"/>
            <w:tcMar>
              <w:left w:w="105" w:type="dxa"/>
              <w:right w:w="105" w:type="dxa"/>
            </w:tcMar>
            <w:vAlign w:val="center"/>
          </w:tcPr>
          <w:p w14:paraId="63BA24C0">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spacing w:val="3"/>
              </w:rPr>
            </w:pPr>
            <w:r>
              <w:rPr>
                <w:rFonts w:hint="eastAsia" w:ascii="Times New Roman" w:hAnsi="Times New Roman" w:eastAsia="宋体" w:cs="Times New Roman"/>
                <w:lang w:val="en-US" w:eastAsia="zh-CN"/>
              </w:rPr>
              <w:t>入组：38例</w:t>
            </w:r>
          </w:p>
        </w:tc>
      </w:tr>
      <w:tr w14:paraId="77DB23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0" w:hRule="atLeast"/>
          <w:tblCellSpacing w:w="0" w:type="dxa"/>
          <w:jc w:val="center"/>
        </w:trPr>
        <w:tc>
          <w:tcPr>
            <w:tcW w:w="73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1D5A863D">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4</w:t>
            </w:r>
          </w:p>
        </w:tc>
        <w:tc>
          <w:tcPr>
            <w:tcW w:w="5993" w:type="dxa"/>
            <w:tcBorders>
              <w:top w:val="nil"/>
              <w:left w:val="nil"/>
              <w:bottom w:val="single" w:color="auto" w:sz="6" w:space="0"/>
              <w:right w:val="single" w:color="auto" w:sz="6" w:space="0"/>
            </w:tcBorders>
            <w:shd w:val="clear" w:color="auto" w:fill="auto"/>
            <w:tcMar>
              <w:left w:w="105" w:type="dxa"/>
              <w:right w:w="105" w:type="dxa"/>
            </w:tcMar>
            <w:vAlign w:val="center"/>
          </w:tcPr>
          <w:p w14:paraId="1358902B">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lang w:val="en-US" w:eastAsia="zh-CN"/>
              </w:rPr>
            </w:pPr>
            <w:r>
              <w:rPr>
                <w:rFonts w:hint="default" w:ascii="Times New Roman" w:hAnsi="Times New Roman" w:eastAsia="宋体" w:cs="Times New Roman"/>
                <w:spacing w:val="2"/>
              </w:rPr>
              <w:t>赛评价赛沃替尼联合奥希替尼对比培美曲塞联合铂类治疗经EGFR抑制剂治疗失败伴MET扩增的局部晚期或转移性非小细胞肺癌（NSCLC）患者的有效性和安全性的多中心、随机、对照、开放的Ⅲ期临床研究</w:t>
            </w:r>
          </w:p>
        </w:tc>
        <w:tc>
          <w:tcPr>
            <w:tcW w:w="1823" w:type="dxa"/>
            <w:tcBorders>
              <w:top w:val="nil"/>
              <w:left w:val="nil"/>
              <w:bottom w:val="single" w:color="auto" w:sz="6" w:space="0"/>
              <w:right w:val="single" w:color="auto" w:sz="6" w:space="0"/>
            </w:tcBorders>
            <w:shd w:val="clear" w:color="auto" w:fill="auto"/>
            <w:tcMar>
              <w:left w:w="105" w:type="dxa"/>
              <w:right w:w="105" w:type="dxa"/>
            </w:tcMar>
            <w:vAlign w:val="center"/>
          </w:tcPr>
          <w:p w14:paraId="52D58D7D">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eastAsia" w:ascii="Times New Roman" w:hAnsi="Times New Roman" w:eastAsia="宋体" w:cs="Times New Roman"/>
                <w:spacing w:val="2"/>
                <w:lang w:val="en-US" w:eastAsia="zh-CN"/>
              </w:rPr>
            </w:pPr>
          </w:p>
        </w:tc>
      </w:tr>
      <w:tr w14:paraId="321D74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blCellSpacing w:w="0" w:type="dxa"/>
          <w:jc w:val="center"/>
        </w:trPr>
        <w:tc>
          <w:tcPr>
            <w:tcW w:w="73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743A3D16">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5</w:t>
            </w:r>
          </w:p>
        </w:tc>
        <w:tc>
          <w:tcPr>
            <w:tcW w:w="5993" w:type="dxa"/>
            <w:tcBorders>
              <w:top w:val="nil"/>
              <w:left w:val="nil"/>
              <w:bottom w:val="single" w:color="auto" w:sz="6" w:space="0"/>
              <w:right w:val="single" w:color="auto" w:sz="6" w:space="0"/>
            </w:tcBorders>
            <w:shd w:val="clear" w:color="auto" w:fill="auto"/>
            <w:tcMar>
              <w:left w:w="105" w:type="dxa"/>
              <w:right w:w="105" w:type="dxa"/>
            </w:tcMar>
            <w:vAlign w:val="center"/>
          </w:tcPr>
          <w:p w14:paraId="5FA9CA21">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一项多中心、随机、双盲双模拟、阳性药物平行对照的Ⅲ期临床试验评估沙美特罗</w:t>
            </w:r>
          </w:p>
          <w:p w14:paraId="0B14D7F5">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替卡松吸入气雾剂治疗成人支气管哮喘的有效性和安全性</w:t>
            </w:r>
          </w:p>
        </w:tc>
        <w:tc>
          <w:tcPr>
            <w:tcW w:w="1823" w:type="dxa"/>
            <w:tcBorders>
              <w:top w:val="nil"/>
              <w:left w:val="nil"/>
              <w:bottom w:val="single" w:color="auto" w:sz="6" w:space="0"/>
              <w:right w:val="single" w:color="auto" w:sz="6" w:space="0"/>
            </w:tcBorders>
            <w:shd w:val="clear" w:color="auto" w:fill="auto"/>
            <w:tcMar>
              <w:left w:w="105" w:type="dxa"/>
              <w:right w:w="105" w:type="dxa"/>
            </w:tcMar>
            <w:vAlign w:val="center"/>
          </w:tcPr>
          <w:p w14:paraId="1A5B6AEF">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入组：37例</w:t>
            </w:r>
          </w:p>
        </w:tc>
      </w:tr>
      <w:tr w14:paraId="6ED8E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blCellSpacing w:w="0" w:type="dxa"/>
          <w:jc w:val="center"/>
        </w:trPr>
        <w:tc>
          <w:tcPr>
            <w:tcW w:w="73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59B65A45">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6</w:t>
            </w:r>
          </w:p>
        </w:tc>
        <w:tc>
          <w:tcPr>
            <w:tcW w:w="5993" w:type="dxa"/>
            <w:tcBorders>
              <w:top w:val="nil"/>
              <w:left w:val="nil"/>
              <w:bottom w:val="single" w:color="auto" w:sz="6" w:space="0"/>
              <w:right w:val="single" w:color="auto" w:sz="6" w:space="0"/>
            </w:tcBorders>
            <w:shd w:val="clear" w:color="auto" w:fill="auto"/>
            <w:tcMar>
              <w:left w:w="105" w:type="dxa"/>
              <w:right w:w="105" w:type="dxa"/>
            </w:tcMar>
            <w:vAlign w:val="center"/>
          </w:tcPr>
          <w:p w14:paraId="43FFF74E">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一项在哮喘未充分控制的中国受试者中比较固定剂量复方制剂FF/UMEC/VI与二联复方制剂FF/VI通过干粉吸入器每日一次给药的有效性、安全性和耐受性的III期、12周、随机、双盲、4组平行组的桥接研究</w:t>
            </w:r>
          </w:p>
        </w:tc>
        <w:tc>
          <w:tcPr>
            <w:tcW w:w="1823" w:type="dxa"/>
            <w:tcBorders>
              <w:top w:val="nil"/>
              <w:left w:val="nil"/>
              <w:bottom w:val="single" w:color="auto" w:sz="6" w:space="0"/>
              <w:right w:val="single" w:color="auto" w:sz="6" w:space="0"/>
            </w:tcBorders>
            <w:shd w:val="clear" w:color="auto" w:fill="auto"/>
            <w:tcMar>
              <w:left w:w="105" w:type="dxa"/>
              <w:right w:w="105" w:type="dxa"/>
            </w:tcMar>
            <w:vAlign w:val="center"/>
          </w:tcPr>
          <w:p w14:paraId="7DA73D6A">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eastAsia" w:ascii="Times New Roman" w:hAnsi="Times New Roman" w:eastAsia="宋体" w:cs="Times New Roman"/>
                <w:lang w:val="en-US" w:eastAsia="zh-CN"/>
              </w:rPr>
              <w:t>入组：6例</w:t>
            </w:r>
          </w:p>
        </w:tc>
      </w:tr>
      <w:tr w14:paraId="285EC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95" w:hRule="atLeast"/>
          <w:tblCellSpacing w:w="0" w:type="dxa"/>
          <w:jc w:val="center"/>
        </w:trPr>
        <w:tc>
          <w:tcPr>
            <w:tcW w:w="73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4775C6CE">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7</w:t>
            </w:r>
          </w:p>
        </w:tc>
        <w:tc>
          <w:tcPr>
            <w:tcW w:w="5993" w:type="dxa"/>
            <w:tcBorders>
              <w:top w:val="nil"/>
              <w:left w:val="nil"/>
              <w:bottom w:val="single" w:color="auto" w:sz="6" w:space="0"/>
              <w:right w:val="single" w:color="auto" w:sz="6" w:space="0"/>
            </w:tcBorders>
            <w:shd w:val="clear" w:color="auto" w:fill="auto"/>
            <w:tcMar>
              <w:left w:w="105" w:type="dxa"/>
              <w:right w:w="105" w:type="dxa"/>
            </w:tcMar>
            <w:vAlign w:val="center"/>
          </w:tcPr>
          <w:p w14:paraId="2B07E877">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评价ZX-7101A片治疗成人无并发症的单纯性流感的有效性及安全性的多中心、随机、双盲、安慰剂对照的Ⅱ/Ⅲ期临床研究</w:t>
            </w:r>
          </w:p>
        </w:tc>
        <w:tc>
          <w:tcPr>
            <w:tcW w:w="1823" w:type="dxa"/>
            <w:tcBorders>
              <w:top w:val="nil"/>
              <w:left w:val="nil"/>
              <w:bottom w:val="single" w:color="auto" w:sz="6" w:space="0"/>
              <w:right w:val="single" w:color="auto" w:sz="6" w:space="0"/>
            </w:tcBorders>
            <w:shd w:val="clear" w:color="auto" w:fill="auto"/>
            <w:tcMar>
              <w:left w:w="105" w:type="dxa"/>
              <w:right w:w="105" w:type="dxa"/>
            </w:tcMar>
            <w:vAlign w:val="center"/>
          </w:tcPr>
          <w:p w14:paraId="6B8901F8">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eastAsia" w:ascii="Times New Roman" w:hAnsi="Times New Roman" w:eastAsia="宋体" w:cs="Times New Roman"/>
                <w:lang w:val="en-US" w:eastAsia="zh-CN"/>
              </w:rPr>
            </w:pPr>
          </w:p>
        </w:tc>
      </w:tr>
      <w:tr w14:paraId="52415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blCellSpacing w:w="0" w:type="dxa"/>
          <w:jc w:val="center"/>
        </w:trPr>
        <w:tc>
          <w:tcPr>
            <w:tcW w:w="73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555510BF">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8</w:t>
            </w:r>
          </w:p>
        </w:tc>
        <w:tc>
          <w:tcPr>
            <w:tcW w:w="5993" w:type="dxa"/>
            <w:tcBorders>
              <w:top w:val="nil"/>
              <w:left w:val="nil"/>
              <w:bottom w:val="single" w:color="auto" w:sz="6" w:space="0"/>
              <w:right w:val="single" w:color="auto" w:sz="6" w:space="0"/>
            </w:tcBorders>
            <w:shd w:val="clear" w:color="auto" w:fill="auto"/>
            <w:tcMar>
              <w:left w:w="105" w:type="dxa"/>
              <w:right w:w="105" w:type="dxa"/>
            </w:tcMar>
            <w:vAlign w:val="center"/>
          </w:tcPr>
          <w:p w14:paraId="4DBAC207">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spacing w:val="3"/>
              </w:rPr>
              <w:t>评价丙酸氟替卡松吸入粉雾剂在成人支气管哮喘患者中的有效性和安全性的多中心、随机、盲法、阳性药物平行对照III期临床试验</w:t>
            </w:r>
          </w:p>
        </w:tc>
        <w:tc>
          <w:tcPr>
            <w:tcW w:w="1823" w:type="dxa"/>
            <w:tcBorders>
              <w:top w:val="nil"/>
              <w:left w:val="nil"/>
              <w:bottom w:val="single" w:color="auto" w:sz="6" w:space="0"/>
              <w:right w:val="single" w:color="auto" w:sz="6" w:space="0"/>
            </w:tcBorders>
            <w:shd w:val="clear" w:color="auto" w:fill="auto"/>
            <w:tcMar>
              <w:left w:w="105" w:type="dxa"/>
              <w:right w:w="105" w:type="dxa"/>
            </w:tcMar>
            <w:vAlign w:val="center"/>
          </w:tcPr>
          <w:p w14:paraId="5D675743">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spacing w:val="3"/>
              </w:rPr>
            </w:pPr>
            <w:r>
              <w:rPr>
                <w:rFonts w:hint="eastAsia" w:ascii="Times New Roman" w:hAnsi="Times New Roman" w:eastAsia="宋体" w:cs="Times New Roman"/>
                <w:lang w:val="en-US" w:eastAsia="zh-CN"/>
              </w:rPr>
              <w:t>入组：39例</w:t>
            </w:r>
          </w:p>
        </w:tc>
      </w:tr>
      <w:tr w14:paraId="27372F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6" w:hRule="atLeast"/>
          <w:tblCellSpacing w:w="0" w:type="dxa"/>
          <w:jc w:val="center"/>
        </w:trPr>
        <w:tc>
          <w:tcPr>
            <w:tcW w:w="73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3EE311EF">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9</w:t>
            </w:r>
          </w:p>
        </w:tc>
        <w:tc>
          <w:tcPr>
            <w:tcW w:w="5993" w:type="dxa"/>
            <w:tcBorders>
              <w:top w:val="nil"/>
              <w:left w:val="nil"/>
              <w:bottom w:val="single" w:color="auto" w:sz="6" w:space="0"/>
              <w:right w:val="single" w:color="auto" w:sz="6" w:space="0"/>
            </w:tcBorders>
            <w:shd w:val="clear" w:color="auto" w:fill="auto"/>
            <w:tcMar>
              <w:left w:w="105" w:type="dxa"/>
              <w:right w:w="105" w:type="dxa"/>
            </w:tcMar>
            <w:vAlign w:val="center"/>
          </w:tcPr>
          <w:p w14:paraId="76C776E1">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评价吸入用盐酸溴己新溶液改善下呼吸道感染性疾病黏痰症状的有效性和安全性的一项多中心、随机、双盲、安慰剂平行对照的临床研究</w:t>
            </w:r>
          </w:p>
        </w:tc>
        <w:tc>
          <w:tcPr>
            <w:tcW w:w="1823" w:type="dxa"/>
            <w:tcBorders>
              <w:top w:val="nil"/>
              <w:left w:val="nil"/>
              <w:bottom w:val="single" w:color="auto" w:sz="6" w:space="0"/>
              <w:right w:val="single" w:color="auto" w:sz="6" w:space="0"/>
            </w:tcBorders>
            <w:shd w:val="clear" w:color="auto" w:fill="auto"/>
            <w:tcMar>
              <w:left w:w="105" w:type="dxa"/>
              <w:right w:w="105" w:type="dxa"/>
            </w:tcMar>
            <w:vAlign w:val="center"/>
          </w:tcPr>
          <w:p w14:paraId="36E423A6">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p>
        </w:tc>
      </w:tr>
      <w:tr w14:paraId="1C3DA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blCellSpacing w:w="0" w:type="dxa"/>
          <w:jc w:val="center"/>
        </w:trPr>
        <w:tc>
          <w:tcPr>
            <w:tcW w:w="73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285BD5F2">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10</w:t>
            </w:r>
          </w:p>
        </w:tc>
        <w:tc>
          <w:tcPr>
            <w:tcW w:w="5993" w:type="dxa"/>
            <w:tcBorders>
              <w:top w:val="nil"/>
              <w:left w:val="nil"/>
              <w:bottom w:val="single" w:color="auto" w:sz="6" w:space="0"/>
              <w:right w:val="single" w:color="auto" w:sz="6" w:space="0"/>
            </w:tcBorders>
            <w:shd w:val="clear" w:color="auto" w:fill="auto"/>
            <w:tcMar>
              <w:left w:w="105" w:type="dxa"/>
              <w:right w:w="105" w:type="dxa"/>
            </w:tcMar>
            <w:vAlign w:val="center"/>
          </w:tcPr>
          <w:p w14:paraId="7657C8E7">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一项在呼吸道合胞病毒感染的成人住院受试者中评价多次口服 AK0529 肠溶胶囊药代动力学、安全性和疗效的随机、双盲、安慰剂对照研究</w:t>
            </w:r>
          </w:p>
        </w:tc>
        <w:tc>
          <w:tcPr>
            <w:tcW w:w="1823" w:type="dxa"/>
            <w:tcBorders>
              <w:top w:val="nil"/>
              <w:left w:val="nil"/>
              <w:bottom w:val="single" w:color="auto" w:sz="6" w:space="0"/>
              <w:right w:val="single" w:color="auto" w:sz="6" w:space="0"/>
            </w:tcBorders>
            <w:shd w:val="clear" w:color="auto" w:fill="auto"/>
            <w:tcMar>
              <w:left w:w="105" w:type="dxa"/>
              <w:right w:w="105" w:type="dxa"/>
            </w:tcMar>
            <w:vAlign w:val="center"/>
          </w:tcPr>
          <w:p w14:paraId="362BAC47">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p>
        </w:tc>
      </w:tr>
      <w:tr w14:paraId="1276F1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65" w:hRule="atLeast"/>
          <w:tblCellSpacing w:w="0" w:type="dxa"/>
          <w:jc w:val="center"/>
        </w:trPr>
        <w:tc>
          <w:tcPr>
            <w:tcW w:w="73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1DF5E860">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11</w:t>
            </w:r>
          </w:p>
        </w:tc>
        <w:tc>
          <w:tcPr>
            <w:tcW w:w="5993" w:type="dxa"/>
            <w:tcBorders>
              <w:top w:val="nil"/>
              <w:left w:val="nil"/>
              <w:bottom w:val="single" w:color="auto" w:sz="6" w:space="0"/>
              <w:right w:val="single" w:color="auto" w:sz="6" w:space="0"/>
            </w:tcBorders>
            <w:shd w:val="clear" w:color="auto" w:fill="auto"/>
            <w:tcMar>
              <w:left w:w="105" w:type="dxa"/>
              <w:right w:w="105" w:type="dxa"/>
            </w:tcMar>
            <w:vAlign w:val="center"/>
          </w:tcPr>
          <w:p w14:paraId="087CE3E3">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lang w:val="en-US" w:eastAsia="zh-CN"/>
              </w:rPr>
            </w:pPr>
            <w:r>
              <w:rPr>
                <w:rFonts w:hint="default" w:ascii="Times New Roman" w:hAnsi="Times New Roman" w:eastAsia="宋体" w:cs="Times New Roman"/>
              </w:rPr>
              <w:t>一项评估QR052107B片在亚急性咳嗽患者中疗效及安全性的随机、双盲、安慰剂对照、平行设计Ⅱ期临床试验</w:t>
            </w:r>
          </w:p>
        </w:tc>
        <w:tc>
          <w:tcPr>
            <w:tcW w:w="1823" w:type="dxa"/>
            <w:tcBorders>
              <w:top w:val="nil"/>
              <w:left w:val="nil"/>
              <w:bottom w:val="single" w:color="auto" w:sz="6" w:space="0"/>
              <w:right w:val="single" w:color="auto" w:sz="6" w:space="0"/>
            </w:tcBorders>
            <w:shd w:val="clear" w:color="auto" w:fill="auto"/>
            <w:tcMar>
              <w:left w:w="105" w:type="dxa"/>
              <w:right w:w="105" w:type="dxa"/>
            </w:tcMar>
            <w:vAlign w:val="center"/>
          </w:tcPr>
          <w:p w14:paraId="7F0E48EF">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p>
        </w:tc>
      </w:tr>
      <w:tr w14:paraId="38DDE2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blCellSpacing w:w="0" w:type="dxa"/>
          <w:jc w:val="center"/>
        </w:trPr>
        <w:tc>
          <w:tcPr>
            <w:tcW w:w="73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51C9AADD">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12</w:t>
            </w:r>
          </w:p>
        </w:tc>
        <w:tc>
          <w:tcPr>
            <w:tcW w:w="5993" w:type="dxa"/>
            <w:tcBorders>
              <w:top w:val="nil"/>
              <w:left w:val="nil"/>
              <w:bottom w:val="single" w:color="auto" w:sz="6" w:space="0"/>
              <w:right w:val="single" w:color="auto" w:sz="6" w:space="0"/>
            </w:tcBorders>
            <w:shd w:val="clear" w:color="auto" w:fill="auto"/>
            <w:tcMar>
              <w:left w:w="105" w:type="dxa"/>
              <w:right w:w="105" w:type="dxa"/>
            </w:tcMar>
            <w:vAlign w:val="center"/>
          </w:tcPr>
          <w:p w14:paraId="37B727BC">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一项Ⅲ期、多中心、随机、双盲研究，评价TG-1000对比安慰剂在急性流感病毒感染无并发症的成人和青少年患者中的疗效和安全性</w:t>
            </w:r>
          </w:p>
        </w:tc>
        <w:tc>
          <w:tcPr>
            <w:tcW w:w="1823" w:type="dxa"/>
            <w:tcBorders>
              <w:top w:val="nil"/>
              <w:left w:val="nil"/>
              <w:bottom w:val="single" w:color="auto" w:sz="6" w:space="0"/>
              <w:right w:val="single" w:color="auto" w:sz="6" w:space="0"/>
            </w:tcBorders>
            <w:shd w:val="clear" w:color="auto" w:fill="auto"/>
            <w:tcMar>
              <w:left w:w="105" w:type="dxa"/>
              <w:right w:w="105" w:type="dxa"/>
            </w:tcMar>
            <w:vAlign w:val="center"/>
          </w:tcPr>
          <w:p w14:paraId="21058EE2">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p>
        </w:tc>
      </w:tr>
      <w:tr w14:paraId="4C86E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blCellSpacing w:w="0" w:type="dxa"/>
          <w:jc w:val="center"/>
        </w:trPr>
        <w:tc>
          <w:tcPr>
            <w:tcW w:w="73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5C709E47">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13</w:t>
            </w:r>
          </w:p>
        </w:tc>
        <w:tc>
          <w:tcPr>
            <w:tcW w:w="5993" w:type="dxa"/>
            <w:tcBorders>
              <w:top w:val="nil"/>
              <w:left w:val="nil"/>
              <w:bottom w:val="single" w:color="auto" w:sz="6" w:space="0"/>
              <w:right w:val="single" w:color="auto" w:sz="6" w:space="0"/>
            </w:tcBorders>
            <w:shd w:val="clear" w:color="auto" w:fill="auto"/>
            <w:tcMar>
              <w:left w:w="105" w:type="dxa"/>
              <w:right w:w="105" w:type="dxa"/>
            </w:tcMar>
            <w:vAlign w:val="center"/>
          </w:tcPr>
          <w:p w14:paraId="3525F925">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lang w:val="en-US" w:eastAsia="zh-CN"/>
              </w:rPr>
            </w:pPr>
            <w:r>
              <w:rPr>
                <w:rFonts w:hint="default" w:ascii="Times New Roman" w:hAnsi="Times New Roman" w:eastAsia="宋体" w:cs="Times New Roman"/>
              </w:rPr>
              <w:t>布地奈德福莫特罗吸入粉雾剂 (II)治疗成人哮喘有效性和安全性的多中心、随机、双盲双</w:t>
            </w:r>
            <w:r>
              <w:rPr>
                <w:rFonts w:hint="default" w:ascii="Times New Roman" w:hAnsi="Times New Roman" w:eastAsia="宋体" w:cs="Times New Roman"/>
                <w:lang w:val="en-US" w:eastAsia="zh-CN"/>
              </w:rPr>
              <w:t>模拟、阳性平行对照临床研究</w:t>
            </w:r>
          </w:p>
        </w:tc>
        <w:tc>
          <w:tcPr>
            <w:tcW w:w="1823" w:type="dxa"/>
            <w:tcBorders>
              <w:top w:val="nil"/>
              <w:left w:val="nil"/>
              <w:bottom w:val="single" w:color="auto" w:sz="6" w:space="0"/>
              <w:right w:val="single" w:color="auto" w:sz="6" w:space="0"/>
            </w:tcBorders>
            <w:shd w:val="clear" w:color="auto" w:fill="auto"/>
            <w:tcMar>
              <w:left w:w="105" w:type="dxa"/>
              <w:right w:w="105" w:type="dxa"/>
            </w:tcMar>
            <w:vAlign w:val="center"/>
          </w:tcPr>
          <w:p w14:paraId="02E12549">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eastAsia" w:ascii="Times New Roman" w:hAnsi="Times New Roman" w:eastAsia="宋体" w:cs="Times New Roman"/>
                <w:lang w:val="en-US" w:eastAsia="zh-CN"/>
              </w:rPr>
              <w:t>入组：17例</w:t>
            </w:r>
          </w:p>
        </w:tc>
      </w:tr>
      <w:tr w14:paraId="396735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blCellSpacing w:w="0" w:type="dxa"/>
          <w:jc w:val="center"/>
        </w:trPr>
        <w:tc>
          <w:tcPr>
            <w:tcW w:w="73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7BD0A821">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14</w:t>
            </w:r>
          </w:p>
        </w:tc>
        <w:tc>
          <w:tcPr>
            <w:tcW w:w="5993" w:type="dxa"/>
            <w:tcBorders>
              <w:top w:val="nil"/>
              <w:left w:val="nil"/>
              <w:bottom w:val="single" w:color="auto" w:sz="6" w:space="0"/>
              <w:right w:val="single" w:color="auto" w:sz="6" w:space="0"/>
            </w:tcBorders>
            <w:shd w:val="clear" w:color="auto" w:fill="auto"/>
            <w:tcMar>
              <w:left w:w="105" w:type="dxa"/>
              <w:right w:w="105" w:type="dxa"/>
            </w:tcMar>
            <w:vAlign w:val="center"/>
          </w:tcPr>
          <w:p w14:paraId="5310BFCF">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themeColor="text1"/>
                <w14:textFill>
                  <w14:solidFill>
                    <w14:schemeClr w14:val="tx1"/>
                  </w14:solidFill>
                </w14:textFill>
              </w:rPr>
              <w:t>在慢性咳嗽成年受试者中的3期研究 (PN030)</w:t>
            </w:r>
          </w:p>
        </w:tc>
        <w:tc>
          <w:tcPr>
            <w:tcW w:w="1823" w:type="dxa"/>
            <w:tcBorders>
              <w:top w:val="nil"/>
              <w:left w:val="nil"/>
              <w:bottom w:val="single" w:color="auto" w:sz="6" w:space="0"/>
              <w:right w:val="single" w:color="auto" w:sz="6" w:space="0"/>
            </w:tcBorders>
            <w:shd w:val="clear" w:color="auto" w:fill="auto"/>
            <w:tcMar>
              <w:left w:w="105" w:type="dxa"/>
              <w:right w:w="105" w:type="dxa"/>
            </w:tcMar>
            <w:vAlign w:val="center"/>
          </w:tcPr>
          <w:p w14:paraId="70BA72AE">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color w:val="FF0000"/>
              </w:rPr>
            </w:pPr>
          </w:p>
        </w:tc>
      </w:tr>
      <w:tr w14:paraId="3A8A0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blCellSpacing w:w="0" w:type="dxa"/>
          <w:jc w:val="center"/>
        </w:trPr>
        <w:tc>
          <w:tcPr>
            <w:tcW w:w="73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3B253905">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15</w:t>
            </w:r>
          </w:p>
        </w:tc>
        <w:tc>
          <w:tcPr>
            <w:tcW w:w="5993" w:type="dxa"/>
            <w:tcBorders>
              <w:top w:val="nil"/>
              <w:left w:val="nil"/>
              <w:bottom w:val="single" w:color="auto" w:sz="6" w:space="0"/>
              <w:right w:val="single" w:color="auto" w:sz="6" w:space="0"/>
            </w:tcBorders>
            <w:shd w:val="clear" w:color="auto" w:fill="auto"/>
            <w:tcMar>
              <w:left w:w="105" w:type="dxa"/>
              <w:right w:w="105" w:type="dxa"/>
            </w:tcMar>
            <w:vAlign w:val="center"/>
          </w:tcPr>
          <w:p w14:paraId="41B2E7CF">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lang w:val="en-US" w:eastAsia="zh-CN"/>
              </w:rPr>
            </w:pPr>
            <w:r>
              <w:rPr>
                <w:rFonts w:hint="default" w:ascii="Times New Roman" w:hAnsi="Times New Roman" w:eastAsia="宋体" w:cs="Times New Roman"/>
              </w:rPr>
              <w:t>评价酒石酸阿福特罗雾化吸入用溶液在慢性阻塞性肺疾病 (COPD)患者中的有效性和安全性的随机、双盲、安慰剂平行对照的 III期临床研究</w:t>
            </w:r>
          </w:p>
        </w:tc>
        <w:tc>
          <w:tcPr>
            <w:tcW w:w="1823" w:type="dxa"/>
            <w:tcBorders>
              <w:top w:val="nil"/>
              <w:left w:val="nil"/>
              <w:bottom w:val="single" w:color="auto" w:sz="6" w:space="0"/>
              <w:right w:val="single" w:color="auto" w:sz="6" w:space="0"/>
            </w:tcBorders>
            <w:shd w:val="clear" w:color="auto" w:fill="auto"/>
            <w:tcMar>
              <w:left w:w="105" w:type="dxa"/>
              <w:right w:w="105" w:type="dxa"/>
            </w:tcMar>
            <w:vAlign w:val="center"/>
          </w:tcPr>
          <w:p w14:paraId="4D16C5C2">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eastAsia" w:ascii="Times New Roman" w:hAnsi="Times New Roman" w:eastAsia="宋体" w:cs="Times New Roman"/>
                <w:lang w:val="en-US" w:eastAsia="zh-CN"/>
              </w:rPr>
              <w:t>入组：18例</w:t>
            </w:r>
          </w:p>
        </w:tc>
      </w:tr>
      <w:tr w14:paraId="02C47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65" w:hRule="atLeast"/>
          <w:tblCellSpacing w:w="0" w:type="dxa"/>
          <w:jc w:val="center"/>
        </w:trPr>
        <w:tc>
          <w:tcPr>
            <w:tcW w:w="73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3E499909">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16</w:t>
            </w:r>
          </w:p>
        </w:tc>
        <w:tc>
          <w:tcPr>
            <w:tcW w:w="5993" w:type="dxa"/>
            <w:tcBorders>
              <w:top w:val="nil"/>
              <w:left w:val="nil"/>
              <w:bottom w:val="single" w:color="auto" w:sz="6" w:space="0"/>
              <w:right w:val="single" w:color="auto" w:sz="6" w:space="0"/>
            </w:tcBorders>
            <w:shd w:val="clear" w:color="auto" w:fill="auto"/>
            <w:tcMar>
              <w:left w:w="105" w:type="dxa"/>
              <w:right w:w="105" w:type="dxa"/>
            </w:tcMar>
            <w:vAlign w:val="center"/>
          </w:tcPr>
          <w:p w14:paraId="0E04D8C0">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YK</w:t>
            </w:r>
            <w:r>
              <w:rPr>
                <w:rFonts w:hint="default" w:ascii="Times New Roman" w:hAnsi="Times New Roman" w:eastAsia="宋体" w:cs="Times New Roman"/>
                <w:spacing w:val="3"/>
              </w:rPr>
              <w:t>-2001 注射液治疗成人社区获得性细</w:t>
            </w:r>
            <w:r>
              <w:rPr>
                <w:rFonts w:hint="default" w:ascii="Times New Roman" w:hAnsi="Times New Roman" w:eastAsia="宋体" w:cs="Times New Roman"/>
                <w:spacing w:val="2"/>
              </w:rPr>
              <w:t>菌性肺炎的有效性与安全性</w:t>
            </w:r>
          </w:p>
        </w:tc>
        <w:tc>
          <w:tcPr>
            <w:tcW w:w="1823" w:type="dxa"/>
            <w:tcBorders>
              <w:top w:val="nil"/>
              <w:left w:val="nil"/>
              <w:bottom w:val="single" w:color="auto" w:sz="6" w:space="0"/>
              <w:right w:val="single" w:color="auto" w:sz="6" w:space="0"/>
            </w:tcBorders>
            <w:shd w:val="clear" w:color="auto" w:fill="auto"/>
            <w:tcMar>
              <w:left w:w="105" w:type="dxa"/>
              <w:right w:w="105" w:type="dxa"/>
            </w:tcMar>
            <w:vAlign w:val="center"/>
          </w:tcPr>
          <w:p w14:paraId="3B267A55">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p>
        </w:tc>
      </w:tr>
      <w:tr w14:paraId="23305A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5" w:hRule="atLeast"/>
          <w:tblCellSpacing w:w="0" w:type="dxa"/>
          <w:jc w:val="center"/>
        </w:trPr>
        <w:tc>
          <w:tcPr>
            <w:tcW w:w="73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59D185C5">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17</w:t>
            </w:r>
          </w:p>
        </w:tc>
        <w:tc>
          <w:tcPr>
            <w:tcW w:w="5993" w:type="dxa"/>
            <w:tcBorders>
              <w:top w:val="nil"/>
              <w:left w:val="nil"/>
              <w:bottom w:val="single" w:color="auto" w:sz="6" w:space="0"/>
              <w:right w:val="single" w:color="auto" w:sz="6" w:space="0"/>
            </w:tcBorders>
            <w:shd w:val="clear" w:color="auto" w:fill="auto"/>
            <w:tcMar>
              <w:left w:w="105" w:type="dxa"/>
              <w:right w:w="105" w:type="dxa"/>
            </w:tcMar>
            <w:vAlign w:val="center"/>
          </w:tcPr>
          <w:p w14:paraId="2D04281A">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评价SIM0718在成人和青少年哮喘患者中有效性和安全性的多中心、随机、双盲、平行组、安慰剂对照的III期临床研究</w:t>
            </w:r>
          </w:p>
        </w:tc>
        <w:tc>
          <w:tcPr>
            <w:tcW w:w="1823" w:type="dxa"/>
            <w:tcBorders>
              <w:top w:val="nil"/>
              <w:left w:val="nil"/>
              <w:bottom w:val="single" w:color="auto" w:sz="6" w:space="0"/>
              <w:right w:val="single" w:color="auto" w:sz="6" w:space="0"/>
            </w:tcBorders>
            <w:shd w:val="clear" w:color="auto" w:fill="auto"/>
            <w:tcMar>
              <w:left w:w="105" w:type="dxa"/>
              <w:right w:w="105" w:type="dxa"/>
            </w:tcMar>
            <w:vAlign w:val="center"/>
          </w:tcPr>
          <w:p w14:paraId="6D11F71D">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p>
        </w:tc>
      </w:tr>
      <w:tr w14:paraId="522577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20" w:hRule="atLeast"/>
          <w:tblCellSpacing w:w="0" w:type="dxa"/>
          <w:jc w:val="center"/>
        </w:trPr>
        <w:tc>
          <w:tcPr>
            <w:tcW w:w="73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7D769C8E">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18</w:t>
            </w:r>
          </w:p>
        </w:tc>
        <w:tc>
          <w:tcPr>
            <w:tcW w:w="5993" w:type="dxa"/>
            <w:tcBorders>
              <w:top w:val="nil"/>
              <w:left w:val="nil"/>
              <w:bottom w:val="single" w:color="auto" w:sz="6" w:space="0"/>
              <w:right w:val="single" w:color="auto" w:sz="6" w:space="0"/>
            </w:tcBorders>
            <w:shd w:val="clear" w:color="auto" w:fill="auto"/>
            <w:tcMar>
              <w:left w:w="105" w:type="dxa"/>
              <w:right w:w="105" w:type="dxa"/>
            </w:tcMar>
            <w:vAlign w:val="center"/>
          </w:tcPr>
          <w:p w14:paraId="0201662B">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lang w:val="en-US" w:eastAsia="zh-CN"/>
              </w:rPr>
            </w:pPr>
            <w:r>
              <w:rPr>
                <w:rFonts w:hint="default" w:ascii="Times New Roman" w:hAnsi="Times New Roman" w:eastAsia="宋体" w:cs="Times New Roman"/>
              </w:rPr>
              <w:t>一项评价皮下注射JKN24011治疗中、重度慢性阻塞性肺疾病（COPD）患者人群的有效性、安全性的随机、双盲、安慰剂对照II期临床研究/JKN2401-II</w:t>
            </w:r>
          </w:p>
        </w:tc>
        <w:tc>
          <w:tcPr>
            <w:tcW w:w="1823" w:type="dxa"/>
            <w:tcBorders>
              <w:top w:val="nil"/>
              <w:left w:val="nil"/>
              <w:bottom w:val="single" w:color="auto" w:sz="6" w:space="0"/>
              <w:right w:val="single" w:color="auto" w:sz="6" w:space="0"/>
            </w:tcBorders>
            <w:shd w:val="clear" w:color="auto" w:fill="auto"/>
            <w:tcMar>
              <w:left w:w="105" w:type="dxa"/>
              <w:right w:w="105" w:type="dxa"/>
            </w:tcMar>
            <w:vAlign w:val="center"/>
          </w:tcPr>
          <w:p w14:paraId="64F2081C">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p>
        </w:tc>
      </w:tr>
      <w:tr w14:paraId="729D3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20" w:hRule="atLeast"/>
          <w:tblCellSpacing w:w="0" w:type="dxa"/>
          <w:jc w:val="center"/>
        </w:trPr>
        <w:tc>
          <w:tcPr>
            <w:tcW w:w="73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1A3E04B4">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19</w:t>
            </w:r>
          </w:p>
        </w:tc>
        <w:tc>
          <w:tcPr>
            <w:tcW w:w="5993" w:type="dxa"/>
            <w:tcBorders>
              <w:top w:val="nil"/>
              <w:left w:val="nil"/>
              <w:bottom w:val="single" w:color="auto" w:sz="6" w:space="0"/>
              <w:right w:val="single" w:color="auto" w:sz="6" w:space="0"/>
            </w:tcBorders>
            <w:shd w:val="clear" w:color="auto" w:fill="auto"/>
            <w:tcMar>
              <w:left w:w="105" w:type="dxa"/>
              <w:right w:w="105" w:type="dxa"/>
            </w:tcMar>
            <w:vAlign w:val="center"/>
          </w:tcPr>
          <w:p w14:paraId="17759305">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themeColor="text1"/>
                <w14:textFill>
                  <w14:solidFill>
                    <w14:schemeClr w14:val="tx1"/>
                  </w14:solidFill>
                </w14:textFill>
              </w:rPr>
              <w:t>LP-003注射液治疗过敏性哮喘患者的Ⅱ期临床试验</w:t>
            </w:r>
          </w:p>
        </w:tc>
        <w:tc>
          <w:tcPr>
            <w:tcW w:w="1823" w:type="dxa"/>
            <w:tcBorders>
              <w:top w:val="nil"/>
              <w:left w:val="nil"/>
              <w:bottom w:val="single" w:color="auto" w:sz="6" w:space="0"/>
              <w:right w:val="single" w:color="auto" w:sz="6" w:space="0"/>
            </w:tcBorders>
            <w:shd w:val="clear" w:color="auto" w:fill="auto"/>
            <w:tcMar>
              <w:left w:w="105" w:type="dxa"/>
              <w:right w:w="105" w:type="dxa"/>
            </w:tcMar>
            <w:vAlign w:val="center"/>
          </w:tcPr>
          <w:p w14:paraId="5883B705">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color w:val="FF0000"/>
              </w:rPr>
            </w:pPr>
          </w:p>
        </w:tc>
      </w:tr>
    </w:tbl>
    <w:p w14:paraId="3B4E43CB">
      <w:pPr>
        <w:keepNext w:val="0"/>
        <w:keepLines w:val="0"/>
        <w:pageBreakBefore w:val="0"/>
        <w:kinsoku/>
        <w:wordWrap/>
        <w:overflowPunct/>
        <w:topLinePunct w:val="0"/>
        <w:autoSpaceDE/>
        <w:autoSpaceDN/>
        <w:bidi w:val="0"/>
        <w:adjustRightInd/>
        <w:snapToGrid/>
        <w:spacing w:beforeAutospacing="0" w:afterAutospacing="0" w:line="360" w:lineRule="auto"/>
        <w:ind w:firstLine="0" w:firstLineChars="0"/>
        <w:jc w:val="left"/>
        <w:textAlignment w:val="auto"/>
        <w:rPr>
          <w:rFonts w:hint="eastAsia" w:asciiTheme="minorEastAsia" w:hAnsiTheme="minorEastAsia" w:eastAsiaTheme="minorEastAsia" w:cstheme="minorEastAsia"/>
          <w:sz w:val="24"/>
          <w:szCs w:val="24"/>
        </w:rPr>
      </w:pPr>
    </w:p>
    <w:p w14:paraId="5FC52EE0">
      <w:pPr>
        <w:keepNext w:val="0"/>
        <w:keepLines w:val="0"/>
        <w:pageBreakBefore w:val="0"/>
        <w:kinsoku/>
        <w:wordWrap/>
        <w:overflowPunct/>
        <w:topLinePunct w:val="0"/>
        <w:autoSpaceDE/>
        <w:autoSpaceDN/>
        <w:bidi w:val="0"/>
        <w:adjustRightInd/>
        <w:snapToGrid/>
        <w:spacing w:beforeAutospacing="0" w:afterAutospacing="0" w:line="360" w:lineRule="auto"/>
        <w:ind w:firstLine="0" w:firstLineChars="0"/>
        <w:jc w:val="left"/>
        <w:textAlignment w:val="auto"/>
        <w:rPr>
          <w:rFonts w:hint="eastAsia" w:asciiTheme="minorEastAsia" w:hAnsiTheme="minorEastAsia" w:eastAsiaTheme="minorEastAsia" w:cstheme="minorEastAsia"/>
          <w:sz w:val="24"/>
          <w:szCs w:val="24"/>
        </w:rPr>
      </w:pPr>
    </w:p>
    <w:p w14:paraId="33751760">
      <w:pPr>
        <w:keepNext w:val="0"/>
        <w:keepLines w:val="0"/>
        <w:pageBreakBefore w:val="0"/>
        <w:kinsoku/>
        <w:wordWrap/>
        <w:overflowPunct/>
        <w:topLinePunct w:val="0"/>
        <w:autoSpaceDE/>
        <w:autoSpaceDN/>
        <w:bidi w:val="0"/>
        <w:adjustRightInd/>
        <w:snapToGrid/>
        <w:spacing w:beforeAutospacing="0" w:afterAutospacing="0" w:line="360" w:lineRule="auto"/>
        <w:ind w:firstLine="0" w:firstLineChars="0"/>
        <w:jc w:val="left"/>
        <w:textAlignment w:val="auto"/>
        <w:rPr>
          <w:rFonts w:hint="eastAsia" w:asciiTheme="minorEastAsia" w:hAnsiTheme="minorEastAsia" w:eastAsiaTheme="minorEastAsia" w:cstheme="minorEastAsia"/>
          <w:sz w:val="24"/>
          <w:szCs w:val="24"/>
        </w:rPr>
      </w:pPr>
    </w:p>
    <w:p w14:paraId="2D90895E">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center"/>
        <w:textAlignment w:val="auto"/>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rPr>
        <w:drawing>
          <wp:inline distT="0" distB="0" distL="114300" distR="114300">
            <wp:extent cx="1470660" cy="1751965"/>
            <wp:effectExtent l="0" t="0" r="15240" b="63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5">
                      <a:extLst>
                        <a:ext uri="{28A0092B-C50C-407E-A947-70E740481C1C}">
                          <a14:useLocalDpi xmlns:a14="http://schemas.microsoft.com/office/drawing/2010/main" val="0"/>
                        </a:ext>
                      </a:extLst>
                    </a:blip>
                    <a:srcRect l="16564" t="6717" r="13913" b="6108"/>
                    <a:stretch>
                      <a:fillRect/>
                    </a:stretch>
                  </pic:blipFill>
                  <pic:spPr>
                    <a:xfrm>
                      <a:off x="0" y="0"/>
                      <a:ext cx="1470660" cy="1751965"/>
                    </a:xfrm>
                    <a:prstGeom prst="rect">
                      <a:avLst/>
                    </a:prstGeom>
                  </pic:spPr>
                </pic:pic>
              </a:graphicData>
            </a:graphic>
          </wp:inline>
        </w:drawing>
      </w:r>
    </w:p>
    <w:p w14:paraId="4BC18966">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center"/>
        <w:textAlignment w:val="auto"/>
        <w:rPr>
          <w:rFonts w:hint="eastAsia"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姓名：</w:t>
      </w:r>
      <w:r>
        <w:rPr>
          <w:rFonts w:hint="eastAsia" w:ascii="Times New Roman" w:hAnsi="Times New Roman" w:eastAsia="宋体" w:cs="Times New Roman"/>
          <w:sz w:val="24"/>
          <w:szCs w:val="24"/>
          <w:lang w:val="en-US" w:eastAsia="zh-CN"/>
        </w:rPr>
        <w:t>林辉斌</w:t>
      </w: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rPr>
        <w:t>职称：主任医师</w:t>
      </w:r>
    </w:p>
    <w:p w14:paraId="1948CEA9">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center"/>
        <w:textAlignment w:val="auto"/>
        <w:rPr>
          <w:rFonts w:hint="eastAsia" w:ascii="仿宋" w:hAnsi="仿宋" w:eastAsia="仿宋" w:cs="仿宋"/>
          <w:sz w:val="24"/>
          <w:szCs w:val="24"/>
          <w:lang w:val="en-US" w:eastAsia="zh-CN"/>
        </w:rPr>
      </w:pPr>
      <w:r>
        <w:rPr>
          <w:rFonts w:hint="default" w:ascii="Times New Roman" w:hAnsi="Times New Roman" w:eastAsia="宋体" w:cs="Times New Roman"/>
          <w:sz w:val="24"/>
          <w:szCs w:val="24"/>
        </w:rPr>
        <w:t>联系电话（座机或手机）：</w:t>
      </w:r>
      <w:r>
        <w:rPr>
          <w:rFonts w:hint="default" w:ascii="Times New Roman" w:hAnsi="Times New Roman" w:eastAsia="宋体" w:cs="Times New Roman"/>
          <w:sz w:val="24"/>
          <w:szCs w:val="24"/>
          <w:lang w:val="en-US" w:eastAsia="zh-CN"/>
        </w:rPr>
        <w:t>0759</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3157</w:t>
      </w:r>
      <w:r>
        <w:rPr>
          <w:rFonts w:hint="eastAsia" w:ascii="Times New Roman" w:hAnsi="Times New Roman" w:eastAsia="宋体" w:cs="Times New Roman"/>
          <w:sz w:val="24"/>
          <w:szCs w:val="24"/>
          <w:lang w:val="en-US" w:eastAsia="zh-CN"/>
        </w:rPr>
        <w:t>135</w:t>
      </w:r>
      <w:r>
        <w:rPr>
          <w:rFonts w:hint="default" w:ascii="Times New Roman" w:hAnsi="Times New Roman" w:eastAsia="宋体" w:cs="Times New Roman"/>
          <w:sz w:val="24"/>
          <w:szCs w:val="24"/>
        </w:rPr>
        <w:t>  邮箱：</w:t>
      </w: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"mailto:lhbzjzxrmyy@126.com" </w:instrText>
      </w:r>
      <w:r>
        <w:rPr>
          <w:rFonts w:hint="eastAsia" w:ascii="仿宋" w:hAnsi="仿宋" w:eastAsia="仿宋" w:cs="仿宋"/>
          <w:sz w:val="24"/>
          <w:szCs w:val="24"/>
          <w:lang w:val="en-US" w:eastAsia="zh-CN"/>
        </w:rPr>
        <w:fldChar w:fldCharType="separate"/>
      </w:r>
      <w:r>
        <w:rPr>
          <w:rStyle w:val="7"/>
          <w:rFonts w:hint="eastAsia" w:ascii="仿宋" w:hAnsi="仿宋" w:eastAsia="仿宋" w:cs="仿宋"/>
          <w:sz w:val="24"/>
          <w:szCs w:val="24"/>
          <w:lang w:val="en-US" w:eastAsia="zh-CN"/>
        </w:rPr>
        <w:t>lhbzjzxrmyy@126.com</w:t>
      </w:r>
      <w:r>
        <w:rPr>
          <w:rFonts w:hint="eastAsia" w:ascii="仿宋" w:hAnsi="仿宋" w:eastAsia="仿宋" w:cs="仿宋"/>
          <w:sz w:val="24"/>
          <w:szCs w:val="24"/>
          <w:lang w:val="en-US" w:eastAsia="zh-CN"/>
        </w:rPr>
        <w:fldChar w:fldCharType="end"/>
      </w:r>
    </w:p>
    <w:p w14:paraId="466C7D65">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jc w:val="both"/>
        <w:textAlignment w:val="auto"/>
        <w:rPr>
          <w:rFonts w:hint="default" w:ascii="Times New Roman" w:hAnsi="Times New Roman" w:eastAsia="宋体" w:cs="Times New Roman"/>
          <w:spacing w:val="-6"/>
          <w:sz w:val="24"/>
          <w:szCs w:val="24"/>
          <w:lang w:val="en-US" w:eastAsia="zh-CN"/>
        </w:rPr>
      </w:pPr>
      <w:r>
        <w:rPr>
          <w:rFonts w:hint="default" w:ascii="Times New Roman" w:hAnsi="Times New Roman" w:eastAsia="宋体" w:cs="Times New Roman"/>
          <w:sz w:val="24"/>
          <w:szCs w:val="24"/>
        </w:rPr>
        <w:t>职务</w:t>
      </w:r>
      <w:r>
        <w:rPr>
          <w:rFonts w:hint="default" w:ascii="Times New Roman" w:hAnsi="Times New Roman" w:eastAsia="宋体" w:cs="Times New Roman"/>
          <w:sz w:val="22"/>
          <w:szCs w:val="22"/>
        </w:rPr>
        <w:t>：</w:t>
      </w:r>
      <w:r>
        <w:rPr>
          <w:rFonts w:hint="eastAsia" w:ascii="Times New Roman" w:hAnsi="Times New Roman" w:eastAsia="宋体" w:cs="Times New Roman"/>
          <w:sz w:val="24"/>
          <w:szCs w:val="24"/>
        </w:rPr>
        <w:t>呼吸与危重症医学科二科主任兼呼吸</w:t>
      </w:r>
      <w:r>
        <w:rPr>
          <w:rFonts w:hint="eastAsia" w:ascii="Times New Roman" w:hAnsi="Times New Roman" w:eastAsia="宋体" w:cs="Times New Roman"/>
          <w:spacing w:val="-6"/>
          <w:sz w:val="24"/>
          <w:szCs w:val="24"/>
        </w:rPr>
        <w:t>与危重症医学科主任、内镜诊疗科主任</w:t>
      </w:r>
    </w:p>
    <w:p w14:paraId="06F7DD14">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eastAsia" w:ascii="Times New Roman" w:hAnsi="Times New Roman" w:eastAsia="宋体" w:cs="Times New Roman"/>
          <w:sz w:val="24"/>
          <w:szCs w:val="24"/>
          <w:lang w:eastAsia="zh-CN"/>
        </w:rPr>
      </w:pPr>
      <w:r>
        <w:rPr>
          <w:rFonts w:hint="eastAsia" w:ascii="Times New Roman" w:hAnsi="Times New Roman" w:eastAsia="宋体" w:cs="Times New Roman"/>
          <w:sz w:val="24"/>
          <w:szCs w:val="24"/>
          <w:lang w:val="en-US" w:eastAsia="zh-CN"/>
        </w:rPr>
        <w:t>个人简介：呼吸与危重症医学科学科带头人、</w:t>
      </w:r>
      <w:r>
        <w:rPr>
          <w:rFonts w:hint="eastAsia" w:ascii="Times New Roman" w:hAnsi="Times New Roman" w:eastAsia="宋体" w:cs="Times New Roman"/>
          <w:sz w:val="24"/>
          <w:szCs w:val="24"/>
        </w:rPr>
        <w:t>呼吸与危重症医学科二科主任兼呼吸与危重症医学科主任、内镜诊疗科主任</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lang w:val="en-US" w:eastAsia="zh-CN"/>
        </w:rPr>
        <w:t>主任医师</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lang w:val="en-US" w:eastAsia="zh-CN"/>
        </w:rPr>
        <w:t>1994年广东医学院本科毕业，毕业后一直于湛江中心人民医院呼吸内科从事临床诊疗工作。擅长呼吸系统感染性疾病、慢性气道阻塞性疾病、哮喘、支气管扩张症、胸膜腔疾病、肺肿瘤等常见病的诊治</w:t>
      </w:r>
      <w:r>
        <w:rPr>
          <w:rFonts w:hint="eastAsia" w:ascii="Times New Roman" w:hAnsi="Times New Roman" w:eastAsia="宋体" w:cs="Times New Roman"/>
          <w:sz w:val="24"/>
          <w:szCs w:val="24"/>
          <w:lang w:val="en-US" w:eastAsia="zh"/>
        </w:rPr>
        <w:t>，开展肺肿瘤内镜介入治疗，靶向、免疫等治疗</w:t>
      </w:r>
      <w:r>
        <w:rPr>
          <w:rFonts w:hint="eastAsia" w:ascii="Times New Roman" w:hAnsi="Times New Roman" w:eastAsia="宋体" w:cs="Times New Roman"/>
          <w:sz w:val="24"/>
          <w:szCs w:val="24"/>
          <w:lang w:val="en-US" w:eastAsia="zh-CN"/>
        </w:rPr>
        <w:t>。擅长呼吸衰竭、大咯血、肺栓塞、急性呼吸窘迫综合征(ARDS)、多器官功能衰竭等急危重症的救治，对肺泡蛋白沉着症、肺血管炎</w:t>
      </w:r>
      <w:r>
        <w:rPr>
          <w:rFonts w:hint="eastAsia" w:ascii="Times New Roman" w:hAnsi="Times New Roman" w:eastAsia="宋体" w:cs="Times New Roman"/>
          <w:sz w:val="24"/>
          <w:szCs w:val="24"/>
          <w:lang w:val="en-US" w:eastAsia="zh"/>
        </w:rPr>
        <w:t>、间质性肺病</w:t>
      </w:r>
      <w:r>
        <w:rPr>
          <w:rFonts w:hint="eastAsia" w:ascii="Times New Roman" w:hAnsi="Times New Roman" w:eastAsia="宋体" w:cs="Times New Roman"/>
          <w:sz w:val="24"/>
          <w:szCs w:val="24"/>
          <w:lang w:val="en-US" w:eastAsia="zh-CN"/>
        </w:rPr>
        <w:t>等少见病有较高的诊治水平。熟练掌握呼吸系统检查技术及呼吸重症监护、机械通气等技术。熟练掌握纤维支气管镜常规检查、活检、气道异物、肿瘤消融、全肺灌洗、冷冻、APC、球囊扩张、顽固性气胸封堵术、气道支架植入及胸腔镜诊疗技术。主持及参与科研立项12项，完成省级以上论文二十余篇。学术任职包括担任</w:t>
      </w:r>
      <w:r>
        <w:rPr>
          <w:rFonts w:hint="eastAsia" w:ascii="Times New Roman" w:hAnsi="Times New Roman" w:eastAsia="宋体" w:cs="Times New Roman"/>
          <w:sz w:val="24"/>
          <w:szCs w:val="24"/>
        </w:rPr>
        <w:t>广东省医学会呼吸病学分会委员</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广东省医学会内科学分会常务委员</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广东省医师协会呼吸病学分会常务委员</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广东省药学会药物治疗学分会专委会委员</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湛江市医学会呼吸病学分会副主任委员</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湛江市医学会肺部肿瘤学分会常务委员</w:t>
      </w:r>
      <w:r>
        <w:rPr>
          <w:rFonts w:hint="eastAsia" w:ascii="Times New Roman" w:hAnsi="Times New Roman" w:eastAsia="宋体" w:cs="Times New Roman"/>
          <w:sz w:val="24"/>
          <w:szCs w:val="24"/>
          <w:lang w:val="en-US" w:eastAsia="zh-CN"/>
        </w:rPr>
        <w:t>等</w:t>
      </w:r>
      <w:r>
        <w:rPr>
          <w:rFonts w:hint="eastAsia" w:ascii="Times New Roman" w:hAnsi="Times New Roman" w:eastAsia="宋体" w:cs="Times New Roman"/>
          <w:sz w:val="24"/>
          <w:szCs w:val="24"/>
          <w:lang w:eastAsia="zh-CN"/>
        </w:rPr>
        <w:t>。</w:t>
      </w:r>
    </w:p>
    <w:p w14:paraId="3BF2D99C">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主要研究方向（意向承接试验专业方向或病种）：</w:t>
      </w:r>
      <w:r>
        <w:rPr>
          <w:rFonts w:hint="default" w:ascii="Times New Roman" w:hAnsi="Times New Roman" w:eastAsia="宋体" w:cs="Times New Roman"/>
          <w:sz w:val="24"/>
          <w:szCs w:val="24"/>
          <w:lang w:val="en-US" w:eastAsia="zh-CN"/>
        </w:rPr>
        <w:t>呼吸与危重症医学科相关疾病</w:t>
      </w:r>
      <w:r>
        <w:rPr>
          <w:rFonts w:hint="eastAsia" w:ascii="Times New Roman" w:hAnsi="Times New Roman" w:eastAsia="宋体" w:cs="Times New Roman"/>
          <w:sz w:val="24"/>
          <w:szCs w:val="24"/>
          <w:lang w:val="en-US" w:eastAsia="zh-CN"/>
        </w:rPr>
        <w:t>及呼吸介入诊疗相关技术。</w:t>
      </w:r>
    </w:p>
    <w:p w14:paraId="4D1B1517">
      <w:pPr>
        <w:keepNext w:val="0"/>
        <w:keepLines w:val="0"/>
        <w:pageBreakBefore w:val="0"/>
        <w:widowControl/>
        <w:kinsoku/>
        <w:wordWrap/>
        <w:overflowPunct/>
        <w:topLinePunct w:val="0"/>
        <w:autoSpaceDE/>
        <w:autoSpaceDN/>
        <w:bidi w:val="0"/>
        <w:adjustRightInd/>
        <w:snapToGrid/>
        <w:spacing w:before="180" w:beforeAutospacing="0" w:after="180" w:afterAutospacing="0" w:line="360" w:lineRule="auto"/>
        <w:ind w:firstLine="480" w:firstLineChars="200"/>
        <w:jc w:val="left"/>
        <w:textAlignment w:val="auto"/>
        <w:rPr>
          <w:rFonts w:hint="default" w:ascii="Times New Roman" w:hAnsi="Times New Roman" w:eastAsia="宋体" w:cs="Times New Roman"/>
          <w:color w:val="000000"/>
          <w:w w:val="90"/>
          <w:sz w:val="24"/>
          <w:szCs w:val="24"/>
        </w:rPr>
      </w:pPr>
      <w:r>
        <w:rPr>
          <w:rFonts w:hint="default" w:ascii="Times New Roman" w:hAnsi="Times New Roman" w:eastAsia="宋体" w:cs="Times New Roman"/>
          <w:sz w:val="24"/>
          <w:szCs w:val="24"/>
          <w:lang w:val="en-US" w:eastAsia="zh-CN"/>
        </w:rPr>
        <w:t>【参与研究】</w:t>
      </w:r>
    </w:p>
    <w:tbl>
      <w:tblPr>
        <w:tblStyle w:val="4"/>
        <w:tblW w:w="8551"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765"/>
        <w:gridCol w:w="5969"/>
        <w:gridCol w:w="1817"/>
      </w:tblGrid>
      <w:tr w14:paraId="5246B2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735" w:type="dxa"/>
            <w:tcBorders>
              <w:top w:val="single" w:color="auto" w:sz="6" w:space="0"/>
              <w:left w:val="single" w:color="auto" w:sz="6" w:space="0"/>
              <w:bottom w:val="single" w:color="auto" w:sz="6" w:space="0"/>
              <w:right w:val="single" w:color="auto" w:sz="6" w:space="0"/>
            </w:tcBorders>
            <w:shd w:val="clear" w:color="auto" w:fill="auto"/>
            <w:noWrap/>
            <w:tcMar>
              <w:left w:w="105" w:type="dxa"/>
              <w:right w:w="105" w:type="dxa"/>
            </w:tcMar>
            <w:vAlign w:val="center"/>
          </w:tcPr>
          <w:p w14:paraId="7977A5E6">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b/>
                <w:bCs/>
              </w:rPr>
            </w:pPr>
            <w:r>
              <w:rPr>
                <w:rFonts w:hint="default" w:ascii="Times New Roman" w:hAnsi="Times New Roman" w:eastAsia="宋体" w:cs="Times New Roman"/>
                <w:b/>
                <w:bCs/>
                <w:color w:val="000000"/>
                <w:sz w:val="24"/>
                <w:szCs w:val="24"/>
              </w:rPr>
              <w:t>No.</w:t>
            </w:r>
          </w:p>
        </w:tc>
        <w:tc>
          <w:tcPr>
            <w:tcW w:w="5993"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434E0415">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b/>
                <w:bCs/>
              </w:rPr>
            </w:pPr>
            <w:r>
              <w:rPr>
                <w:rFonts w:hint="default" w:ascii="Times New Roman" w:hAnsi="Times New Roman" w:eastAsia="宋体" w:cs="Times New Roman"/>
                <w:b/>
                <w:bCs/>
                <w:color w:val="000000"/>
                <w:sz w:val="24"/>
                <w:szCs w:val="24"/>
              </w:rPr>
              <w:t>项目名称</w:t>
            </w:r>
          </w:p>
        </w:tc>
        <w:tc>
          <w:tcPr>
            <w:tcW w:w="1823"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3D08D3FE">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b/>
                <w:bCs/>
                <w:color w:val="000000"/>
                <w:sz w:val="24"/>
                <w:szCs w:val="24"/>
                <w:lang w:val="en-US" w:eastAsia="zh-CN"/>
              </w:rPr>
            </w:pPr>
            <w:r>
              <w:rPr>
                <w:rFonts w:hint="eastAsia" w:ascii="Times New Roman" w:hAnsi="Times New Roman" w:eastAsia="宋体" w:cs="Times New Roman"/>
                <w:b/>
                <w:bCs/>
                <w:color w:val="000000"/>
                <w:sz w:val="24"/>
                <w:szCs w:val="24"/>
                <w:lang w:val="en-US" w:eastAsia="zh-CN"/>
              </w:rPr>
              <w:t>备注</w:t>
            </w:r>
          </w:p>
        </w:tc>
      </w:tr>
      <w:tr w14:paraId="18182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73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7770A3CF">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1</w:t>
            </w:r>
          </w:p>
        </w:tc>
        <w:tc>
          <w:tcPr>
            <w:tcW w:w="5993" w:type="dxa"/>
            <w:tcBorders>
              <w:top w:val="nil"/>
              <w:left w:val="nil"/>
              <w:bottom w:val="single" w:color="auto" w:sz="6" w:space="0"/>
              <w:right w:val="single" w:color="auto" w:sz="6" w:space="0"/>
            </w:tcBorders>
            <w:shd w:val="clear" w:color="auto" w:fill="auto"/>
            <w:tcMar>
              <w:left w:w="105" w:type="dxa"/>
              <w:right w:w="105" w:type="dxa"/>
            </w:tcMar>
            <w:vAlign w:val="center"/>
          </w:tcPr>
          <w:p w14:paraId="428F96A1">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spacing w:val="3"/>
              </w:rPr>
            </w:pPr>
            <w:r>
              <w:rPr>
                <w:rFonts w:hint="default" w:ascii="Times New Roman" w:hAnsi="Times New Roman" w:eastAsia="宋体" w:cs="Times New Roman"/>
                <w:spacing w:val="3"/>
              </w:rPr>
              <w:t>支气管射频消融系统治疗重度持续性哮喘患者前瞻性、多中心、随机对照临床验证试验(方案编号:201801)</w:t>
            </w:r>
          </w:p>
        </w:tc>
        <w:tc>
          <w:tcPr>
            <w:tcW w:w="1823" w:type="dxa"/>
            <w:tcBorders>
              <w:top w:val="nil"/>
              <w:left w:val="nil"/>
              <w:bottom w:val="single" w:color="auto" w:sz="6" w:space="0"/>
              <w:right w:val="single" w:color="auto" w:sz="6" w:space="0"/>
            </w:tcBorders>
            <w:shd w:val="clear" w:color="auto" w:fill="auto"/>
            <w:tcMar>
              <w:left w:w="105" w:type="dxa"/>
              <w:right w:w="105" w:type="dxa"/>
            </w:tcMar>
            <w:vAlign w:val="center"/>
          </w:tcPr>
          <w:p w14:paraId="1A7750DA">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lang w:val="en-US" w:eastAsia="zh-CN"/>
              </w:rPr>
            </w:pPr>
          </w:p>
        </w:tc>
      </w:tr>
      <w:tr w14:paraId="371C5B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0" w:hRule="atLeast"/>
          <w:tblCellSpacing w:w="0" w:type="dxa"/>
          <w:jc w:val="center"/>
        </w:trPr>
        <w:tc>
          <w:tcPr>
            <w:tcW w:w="73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076482B1">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2</w:t>
            </w:r>
          </w:p>
        </w:tc>
        <w:tc>
          <w:tcPr>
            <w:tcW w:w="5993" w:type="dxa"/>
            <w:tcBorders>
              <w:top w:val="nil"/>
              <w:left w:val="nil"/>
              <w:bottom w:val="single" w:color="auto" w:sz="6" w:space="0"/>
              <w:right w:val="single" w:color="auto" w:sz="6" w:space="0"/>
            </w:tcBorders>
            <w:shd w:val="clear" w:color="auto" w:fill="auto"/>
            <w:tcMar>
              <w:left w:w="105" w:type="dxa"/>
              <w:right w:w="105" w:type="dxa"/>
            </w:tcMar>
            <w:vAlign w:val="center"/>
          </w:tcPr>
          <w:p w14:paraId="066FD28F">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spacing w:val="3"/>
                <w:lang w:val="en-US" w:eastAsia="zh-CN"/>
              </w:rPr>
            </w:pPr>
            <w:r>
              <w:rPr>
                <w:rFonts w:hint="default" w:ascii="Times New Roman" w:hAnsi="Times New Roman" w:eastAsia="宋体" w:cs="Times New Roman"/>
                <w:spacing w:val="3"/>
              </w:rPr>
              <w:t>评价酒石酸阿</w:t>
            </w:r>
            <w:r>
              <w:rPr>
                <w:rFonts w:hint="eastAsia" w:ascii="Times New Roman" w:hAnsi="Times New Roman" w:eastAsia="宋体" w:cs="Times New Roman"/>
                <w:spacing w:val="3"/>
                <w:lang w:val="en-US" w:eastAsia="zh-CN"/>
              </w:rPr>
              <w:t>福特罗雾化吸入用溶液维持治疗慢性阻塞性肺疾病</w:t>
            </w:r>
            <w:r>
              <w:rPr>
                <w:rFonts w:hint="default" w:ascii="Times New Roman" w:hAnsi="Times New Roman" w:eastAsia="宋体" w:cs="Times New Roman"/>
                <w:spacing w:val="3"/>
              </w:rPr>
              <w:t>的有效性和安全性的多中心、随机、双盲</w:t>
            </w:r>
            <w:r>
              <w:rPr>
                <w:rFonts w:hint="eastAsia" w:ascii="Times New Roman" w:hAnsi="Times New Roman" w:eastAsia="宋体" w:cs="Times New Roman"/>
                <w:spacing w:val="3"/>
                <w:lang w:eastAsia="zh-CN"/>
              </w:rPr>
              <w:t>、</w:t>
            </w:r>
            <w:r>
              <w:rPr>
                <w:rFonts w:hint="eastAsia" w:ascii="Times New Roman" w:hAnsi="Times New Roman" w:eastAsia="宋体" w:cs="Times New Roman"/>
                <w:spacing w:val="3"/>
                <w:lang w:val="en-US" w:eastAsia="zh-CN"/>
              </w:rPr>
              <w:t>安慰剂平行对照临床试验</w:t>
            </w:r>
          </w:p>
        </w:tc>
        <w:tc>
          <w:tcPr>
            <w:tcW w:w="1823" w:type="dxa"/>
            <w:tcBorders>
              <w:top w:val="nil"/>
              <w:left w:val="nil"/>
              <w:bottom w:val="single" w:color="auto" w:sz="6" w:space="0"/>
              <w:right w:val="single" w:color="auto" w:sz="6" w:space="0"/>
            </w:tcBorders>
            <w:shd w:val="clear" w:color="auto" w:fill="auto"/>
            <w:tcMar>
              <w:left w:w="105" w:type="dxa"/>
              <w:right w:w="105" w:type="dxa"/>
            </w:tcMar>
            <w:vAlign w:val="center"/>
          </w:tcPr>
          <w:p w14:paraId="0BD64668">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eastAsia" w:ascii="Times New Roman" w:hAnsi="Times New Roman" w:eastAsia="宋体" w:cs="Times New Roman"/>
                <w:lang w:val="en-US" w:eastAsia="zh-CN"/>
              </w:rPr>
              <w:t>入组：18例</w:t>
            </w:r>
          </w:p>
        </w:tc>
      </w:tr>
      <w:tr w14:paraId="2E699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50" w:hRule="atLeast"/>
          <w:tblCellSpacing w:w="0" w:type="dxa"/>
          <w:jc w:val="center"/>
        </w:trPr>
        <w:tc>
          <w:tcPr>
            <w:tcW w:w="73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3F445470">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3</w:t>
            </w:r>
          </w:p>
        </w:tc>
        <w:tc>
          <w:tcPr>
            <w:tcW w:w="5993" w:type="dxa"/>
            <w:tcBorders>
              <w:top w:val="nil"/>
              <w:left w:val="nil"/>
              <w:bottom w:val="single" w:color="auto" w:sz="6" w:space="0"/>
              <w:right w:val="single" w:color="auto" w:sz="6" w:space="0"/>
            </w:tcBorders>
            <w:shd w:val="clear" w:color="auto" w:fill="auto"/>
            <w:tcMar>
              <w:left w:w="105" w:type="dxa"/>
              <w:right w:w="105" w:type="dxa"/>
            </w:tcMar>
            <w:vAlign w:val="center"/>
          </w:tcPr>
          <w:p w14:paraId="697D7F41">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一项前瞻性、多中心、集群随机对照试验，旨在评估在急性加重高风险患者中执行慢阻肺质量标准的影响——一项慢阻肺质量提升项目（QIP）/ESR-21-21293</w:t>
            </w:r>
          </w:p>
        </w:tc>
        <w:tc>
          <w:tcPr>
            <w:tcW w:w="1823" w:type="dxa"/>
            <w:tcBorders>
              <w:top w:val="nil"/>
              <w:left w:val="nil"/>
              <w:bottom w:val="single" w:color="auto" w:sz="6" w:space="0"/>
              <w:right w:val="single" w:color="auto" w:sz="6" w:space="0"/>
            </w:tcBorders>
            <w:shd w:val="clear" w:color="auto" w:fill="auto"/>
            <w:tcMar>
              <w:left w:w="105" w:type="dxa"/>
              <w:right w:w="105" w:type="dxa"/>
            </w:tcMar>
            <w:vAlign w:val="center"/>
          </w:tcPr>
          <w:p w14:paraId="245262C3">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spacing w:val="3"/>
              </w:rPr>
            </w:pPr>
          </w:p>
        </w:tc>
      </w:tr>
    </w:tbl>
    <w:p w14:paraId="2DB87088">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jc w:val="both"/>
        <w:textAlignment w:val="auto"/>
        <w:rPr>
          <w:rFonts w:hint="default" w:ascii="Times New Roman" w:hAnsi="Times New Roman" w:eastAsia="宋体" w:cs="Times New Roman"/>
          <w:spacing w:val="-1"/>
          <w:kern w:val="2"/>
          <w:sz w:val="24"/>
          <w:szCs w:val="24"/>
          <w:lang w:eastAsia="zh-CN"/>
        </w:rPr>
      </w:pPr>
    </w:p>
    <w:p w14:paraId="3E49EDF6">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jc w:val="center"/>
        <w:textAlignment w:val="auto"/>
        <w:rPr>
          <w:rFonts w:hint="default" w:ascii="Times New Roman" w:hAnsi="Times New Roman" w:eastAsia="宋体" w:cs="Times New Roman"/>
          <w:lang w:eastAsia="zh-CN"/>
        </w:rPr>
      </w:pPr>
      <w:r>
        <w:rPr>
          <w:rFonts w:hint="default" w:ascii="Times New Roman" w:hAnsi="Times New Roman" w:eastAsia="宋体" w:cs="Times New Roman"/>
          <w:lang w:eastAsia="zh-CN"/>
        </w:rPr>
        <w:drawing>
          <wp:inline distT="0" distB="0" distL="114300" distR="114300">
            <wp:extent cx="1047115" cy="1483995"/>
            <wp:effectExtent l="0" t="0" r="635" b="1905"/>
            <wp:docPr id="1" name="图片 1" descr="陈俊先"/>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陈俊先"/>
                    <pic:cNvPicPr>
                      <a:picLocks noChangeAspect="1"/>
                    </pic:cNvPicPr>
                  </pic:nvPicPr>
                  <pic:blipFill>
                    <a:blip r:embed="rId6"/>
                    <a:stretch>
                      <a:fillRect/>
                    </a:stretch>
                  </pic:blipFill>
                  <pic:spPr>
                    <a:xfrm>
                      <a:off x="0" y="0"/>
                      <a:ext cx="1047115" cy="1483995"/>
                    </a:xfrm>
                    <a:prstGeom prst="rect">
                      <a:avLst/>
                    </a:prstGeom>
                  </pic:spPr>
                </pic:pic>
              </a:graphicData>
            </a:graphic>
          </wp:inline>
        </w:drawing>
      </w:r>
    </w:p>
    <w:p w14:paraId="0538CB7F">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jc w:val="center"/>
        <w:textAlignment w:val="auto"/>
        <w:rPr>
          <w:rFonts w:hint="default" w:ascii="Times New Roman" w:hAnsi="Times New Roman" w:eastAsia="宋体" w:cs="Times New Roman"/>
          <w:b w:val="0"/>
          <w:bCs/>
        </w:rPr>
      </w:pPr>
      <w:r>
        <w:rPr>
          <w:rStyle w:val="6"/>
          <w:rFonts w:hint="default" w:ascii="Times New Roman" w:hAnsi="Times New Roman" w:eastAsia="宋体" w:cs="Times New Roman"/>
          <w:b w:val="0"/>
          <w:bCs/>
          <w:sz w:val="24"/>
          <w:szCs w:val="24"/>
        </w:rPr>
        <w:t>姓名：</w:t>
      </w:r>
      <w:r>
        <w:rPr>
          <w:rStyle w:val="6"/>
          <w:rFonts w:hint="eastAsia" w:ascii="Times New Roman" w:hAnsi="Times New Roman" w:eastAsia="宋体" w:cs="Times New Roman"/>
          <w:b w:val="0"/>
          <w:bCs/>
          <w:sz w:val="24"/>
          <w:szCs w:val="24"/>
          <w:lang w:val="en-US" w:eastAsia="zh-CN"/>
        </w:rPr>
        <w:t>陈俊先</w:t>
      </w:r>
      <w:r>
        <w:rPr>
          <w:rStyle w:val="6"/>
          <w:rFonts w:hint="default" w:ascii="Times New Roman" w:hAnsi="Times New Roman" w:eastAsia="宋体" w:cs="Times New Roman"/>
          <w:b w:val="0"/>
          <w:bCs/>
          <w:sz w:val="24"/>
          <w:szCs w:val="24"/>
          <w:lang w:val="en-US" w:eastAsia="zh-CN"/>
        </w:rPr>
        <w:t xml:space="preserve">   </w:t>
      </w:r>
      <w:r>
        <w:rPr>
          <w:rStyle w:val="6"/>
          <w:rFonts w:hint="default" w:ascii="Times New Roman" w:hAnsi="Times New Roman" w:eastAsia="宋体" w:cs="Times New Roman"/>
          <w:b w:val="0"/>
          <w:bCs/>
          <w:sz w:val="24"/>
          <w:szCs w:val="24"/>
        </w:rPr>
        <w:t>职务：</w:t>
      </w:r>
      <w:r>
        <w:rPr>
          <w:rStyle w:val="6"/>
          <w:rFonts w:hint="eastAsia" w:ascii="Times New Roman" w:hAnsi="Times New Roman" w:eastAsia="宋体" w:cs="Times New Roman"/>
          <w:b w:val="0"/>
          <w:bCs/>
          <w:sz w:val="24"/>
          <w:szCs w:val="24"/>
          <w:lang w:val="en-US" w:eastAsia="zh-CN"/>
        </w:rPr>
        <w:t>无</w:t>
      </w:r>
      <w:r>
        <w:rPr>
          <w:rStyle w:val="6"/>
          <w:rFonts w:hint="default" w:ascii="Times New Roman" w:hAnsi="Times New Roman" w:eastAsia="宋体" w:cs="Times New Roman"/>
          <w:b w:val="0"/>
          <w:bCs/>
          <w:sz w:val="24"/>
          <w:szCs w:val="24"/>
          <w:lang w:val="en-US" w:eastAsia="zh-CN"/>
        </w:rPr>
        <w:t xml:space="preserve">   </w:t>
      </w:r>
      <w:r>
        <w:rPr>
          <w:rStyle w:val="6"/>
          <w:rFonts w:hint="default" w:ascii="Times New Roman" w:hAnsi="Times New Roman" w:eastAsia="宋体" w:cs="Times New Roman"/>
          <w:b w:val="0"/>
          <w:bCs/>
          <w:sz w:val="24"/>
          <w:szCs w:val="24"/>
        </w:rPr>
        <w:t>职称：</w:t>
      </w:r>
      <w:r>
        <w:rPr>
          <w:rStyle w:val="6"/>
          <w:rFonts w:hint="eastAsia" w:ascii="Times New Roman" w:hAnsi="Times New Roman" w:eastAsia="宋体" w:cs="Times New Roman"/>
          <w:b w:val="0"/>
          <w:bCs/>
          <w:sz w:val="24"/>
          <w:szCs w:val="24"/>
          <w:lang w:val="en-US" w:eastAsia="zh-CN"/>
        </w:rPr>
        <w:t>副</w:t>
      </w:r>
      <w:r>
        <w:rPr>
          <w:rStyle w:val="6"/>
          <w:rFonts w:hint="default" w:ascii="Times New Roman" w:hAnsi="Times New Roman" w:eastAsia="宋体" w:cs="Times New Roman"/>
          <w:b w:val="0"/>
          <w:bCs/>
          <w:sz w:val="24"/>
          <w:szCs w:val="24"/>
        </w:rPr>
        <w:t>主任医师</w:t>
      </w:r>
    </w:p>
    <w:p w14:paraId="42438FDF">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center"/>
        <w:textAlignment w:val="auto"/>
        <w:rPr>
          <w:rFonts w:hint="default" w:ascii="Times New Roman" w:hAnsi="Times New Roman" w:eastAsia="宋体" w:cs="Times New Roman"/>
        </w:rPr>
      </w:pPr>
      <w:r>
        <w:rPr>
          <w:rStyle w:val="6"/>
          <w:rFonts w:hint="default" w:ascii="Times New Roman" w:hAnsi="Times New Roman" w:eastAsia="宋体" w:cs="Times New Roman"/>
          <w:b w:val="0"/>
          <w:bCs/>
          <w:sz w:val="24"/>
          <w:szCs w:val="24"/>
        </w:rPr>
        <w:t>联系电话（座机或手机）：</w:t>
      </w:r>
      <w:r>
        <w:rPr>
          <w:rStyle w:val="6"/>
          <w:rFonts w:hint="default" w:ascii="Times New Roman" w:hAnsi="Times New Roman" w:eastAsia="宋体" w:cs="Times New Roman"/>
          <w:b w:val="0"/>
          <w:bCs/>
          <w:sz w:val="24"/>
          <w:szCs w:val="24"/>
          <w:lang w:val="en-US" w:eastAsia="zh-CN"/>
        </w:rPr>
        <w:t>0759</w:t>
      </w:r>
      <w:r>
        <w:rPr>
          <w:rStyle w:val="6"/>
          <w:rFonts w:hint="default" w:ascii="Times New Roman" w:hAnsi="Times New Roman" w:eastAsia="宋体" w:cs="Times New Roman"/>
          <w:b w:val="0"/>
          <w:bCs/>
          <w:sz w:val="24"/>
          <w:szCs w:val="24"/>
        </w:rPr>
        <w:t>-</w:t>
      </w:r>
      <w:r>
        <w:rPr>
          <w:rStyle w:val="6"/>
          <w:rFonts w:hint="default" w:ascii="Times New Roman" w:hAnsi="Times New Roman" w:eastAsia="宋体" w:cs="Times New Roman"/>
          <w:b w:val="0"/>
          <w:bCs/>
          <w:sz w:val="24"/>
          <w:szCs w:val="24"/>
          <w:lang w:val="en-US" w:eastAsia="zh-CN"/>
        </w:rPr>
        <w:t>3157451</w:t>
      </w:r>
      <w:r>
        <w:rPr>
          <w:rStyle w:val="6"/>
          <w:rFonts w:hint="default" w:ascii="Times New Roman" w:hAnsi="Times New Roman" w:eastAsia="宋体" w:cs="Times New Roman"/>
          <w:b w:val="0"/>
          <w:bCs/>
          <w:sz w:val="24"/>
          <w:szCs w:val="24"/>
        </w:rPr>
        <w:t>  邮箱：</w:t>
      </w:r>
      <w:r>
        <w:rPr>
          <w:rStyle w:val="6"/>
          <w:rFonts w:hint="eastAsia" w:ascii="Times New Roman" w:hAnsi="Times New Roman" w:eastAsia="宋体" w:cs="Times New Roman"/>
          <w:b w:val="0"/>
          <w:bCs/>
          <w:sz w:val="24"/>
          <w:szCs w:val="24"/>
          <w:lang w:val="en-US" w:eastAsia="zh-CN"/>
        </w:rPr>
        <w:t>369770177</w:t>
      </w:r>
      <w:r>
        <w:rPr>
          <w:rStyle w:val="6"/>
          <w:rFonts w:hint="default" w:ascii="Times New Roman" w:hAnsi="Times New Roman" w:eastAsia="宋体" w:cs="Times New Roman"/>
          <w:b w:val="0"/>
          <w:bCs/>
          <w:sz w:val="24"/>
          <w:szCs w:val="24"/>
        </w:rPr>
        <w:t>@</w:t>
      </w:r>
      <w:r>
        <w:rPr>
          <w:rStyle w:val="6"/>
          <w:rFonts w:hint="default" w:ascii="Times New Roman" w:hAnsi="Times New Roman" w:eastAsia="宋体" w:cs="Times New Roman"/>
          <w:b w:val="0"/>
          <w:bCs/>
          <w:sz w:val="24"/>
          <w:szCs w:val="24"/>
          <w:lang w:val="en-US" w:eastAsia="zh-CN"/>
        </w:rPr>
        <w:t>qq</w:t>
      </w:r>
      <w:r>
        <w:rPr>
          <w:rStyle w:val="6"/>
          <w:rFonts w:hint="default" w:ascii="Times New Roman" w:hAnsi="Times New Roman" w:eastAsia="宋体" w:cs="Times New Roman"/>
          <w:b w:val="0"/>
          <w:bCs/>
          <w:sz w:val="24"/>
          <w:szCs w:val="24"/>
        </w:rPr>
        <w:t>.com</w:t>
      </w:r>
    </w:p>
    <w:p w14:paraId="41AB8614">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rPr>
      </w:pPr>
      <w:r>
        <w:rPr>
          <w:rFonts w:hint="default" w:ascii="Times New Roman" w:hAnsi="Times New Roman" w:eastAsia="宋体" w:cs="Times New Roman"/>
        </w:rPr>
        <w:t>个人简介：</w:t>
      </w:r>
      <w:r>
        <w:rPr>
          <w:rFonts w:hint="default" w:ascii="Times New Roman" w:hAnsi="Times New Roman" w:eastAsia="宋体" w:cs="Times New Roman"/>
          <w:sz w:val="24"/>
          <w:szCs w:val="24"/>
        </w:rPr>
        <w:t>呼吸介入与肺癌治疗</w:t>
      </w:r>
      <w:r>
        <w:rPr>
          <w:rFonts w:hint="eastAsia" w:ascii="Times New Roman" w:hAnsi="Times New Roman" w:eastAsia="宋体" w:cs="Times New Roman"/>
          <w:sz w:val="24"/>
          <w:szCs w:val="24"/>
          <w:lang w:val="en-US" w:eastAsia="zh-CN"/>
        </w:rPr>
        <w:t>组长</w:t>
      </w:r>
      <w:r>
        <w:rPr>
          <w:rFonts w:hint="default" w:ascii="Times New Roman" w:hAnsi="Times New Roman" w:eastAsia="宋体" w:cs="Times New Roman"/>
        </w:rPr>
        <w:t>，</w:t>
      </w:r>
      <w:r>
        <w:rPr>
          <w:rFonts w:hint="eastAsia" w:ascii="Times New Roman" w:hAnsi="Times New Roman" w:eastAsia="宋体" w:cs="Times New Roman"/>
          <w:lang w:val="en-US" w:eastAsia="zh-CN"/>
        </w:rPr>
        <w:t>副</w:t>
      </w:r>
      <w:r>
        <w:rPr>
          <w:rFonts w:hint="default" w:ascii="Times New Roman" w:hAnsi="Times New Roman" w:eastAsia="宋体" w:cs="Times New Roman"/>
        </w:rPr>
        <w:t>教授、</w:t>
      </w:r>
      <w:r>
        <w:rPr>
          <w:rFonts w:hint="eastAsia" w:ascii="Times New Roman" w:hAnsi="Times New Roman" w:eastAsia="宋体" w:cs="Times New Roman"/>
          <w:lang w:val="en-US" w:eastAsia="zh-CN"/>
        </w:rPr>
        <w:t>副</w:t>
      </w:r>
      <w:r>
        <w:rPr>
          <w:rFonts w:hint="default" w:ascii="Times New Roman" w:hAnsi="Times New Roman" w:eastAsia="宋体" w:cs="Times New Roman"/>
        </w:rPr>
        <w:t>主任医师。</w:t>
      </w:r>
      <w:r>
        <w:rPr>
          <w:rFonts w:hint="eastAsia" w:ascii="Times New Roman" w:hAnsi="Times New Roman" w:eastAsia="宋体" w:cs="Times New Roman"/>
          <w:lang w:val="en-US" w:eastAsia="zh-CN"/>
        </w:rPr>
        <w:t>2008</w:t>
      </w:r>
      <w:r>
        <w:rPr>
          <w:rFonts w:hint="default" w:ascii="Times New Roman" w:hAnsi="Times New Roman" w:eastAsia="宋体" w:cs="Times New Roman"/>
        </w:rPr>
        <w:t>年毕业于</w:t>
      </w:r>
      <w:r>
        <w:rPr>
          <w:rFonts w:hint="default" w:ascii="Times New Roman" w:hAnsi="Times New Roman" w:eastAsia="宋体" w:cs="Times New Roman"/>
          <w:lang w:val="en-US" w:eastAsia="zh-CN"/>
        </w:rPr>
        <w:t>广东医学院</w:t>
      </w:r>
      <w:r>
        <w:rPr>
          <w:rFonts w:hint="default" w:ascii="Times New Roman" w:hAnsi="Times New Roman" w:eastAsia="宋体" w:cs="Times New Roman"/>
        </w:rPr>
        <w:t>，</w:t>
      </w:r>
      <w:r>
        <w:rPr>
          <w:rFonts w:hint="default" w:ascii="Times New Roman" w:hAnsi="Times New Roman" w:eastAsia="宋体" w:cs="Times New Roman"/>
          <w:lang w:val="en-US" w:eastAsia="zh-CN"/>
        </w:rPr>
        <w:t>20</w:t>
      </w:r>
      <w:r>
        <w:rPr>
          <w:rFonts w:hint="eastAsia" w:ascii="Times New Roman" w:hAnsi="Times New Roman" w:eastAsia="宋体" w:cs="Times New Roman"/>
          <w:lang w:val="en-US" w:eastAsia="zh-CN"/>
        </w:rPr>
        <w:t>16</w:t>
      </w:r>
      <w:r>
        <w:rPr>
          <w:rFonts w:hint="default" w:ascii="Times New Roman" w:hAnsi="Times New Roman" w:eastAsia="宋体" w:cs="Times New Roman"/>
          <w:lang w:val="en-US" w:eastAsia="zh-CN"/>
        </w:rPr>
        <w:t>年</w:t>
      </w:r>
      <w:r>
        <w:rPr>
          <w:rFonts w:hint="default" w:ascii="Times New Roman" w:hAnsi="Times New Roman" w:eastAsia="宋体" w:cs="Times New Roman"/>
        </w:rPr>
        <w:t>获</w:t>
      </w:r>
      <w:r>
        <w:rPr>
          <w:rFonts w:hint="default" w:ascii="Times New Roman" w:hAnsi="Times New Roman" w:eastAsia="宋体" w:cs="Times New Roman"/>
          <w:lang w:val="en-US" w:eastAsia="zh-CN"/>
        </w:rPr>
        <w:t>广东医科大学内科学硕士。</w:t>
      </w:r>
      <w:r>
        <w:rPr>
          <w:rFonts w:hint="default" w:ascii="Times New Roman" w:hAnsi="Times New Roman" w:eastAsia="宋体" w:cs="Times New Roman"/>
        </w:rPr>
        <w:t>擅长肺癌、肺结节、胸腔积液、慢性咳嗽、慢阻肺、哮喘等呼吸病的诊治，主攻应用支气管镜、内科胸腔镜等呼吸内镜介入技术对肺癌、肺结节、胸腔积液、肺部感染的精准诊断与治疗，肺癌的靶向和免疫治疗。社会任职：湛江市医院协会呼吸病管理委员会 副主任委员</w:t>
      </w:r>
      <w:r>
        <w:rPr>
          <w:rFonts w:hint="eastAsia" w:ascii="Times New Roman" w:hAnsi="Times New Roman" w:eastAsia="宋体" w:cs="Times New Roman"/>
          <w:lang w:eastAsia="zh-CN"/>
        </w:rPr>
        <w:t>、</w:t>
      </w:r>
      <w:r>
        <w:rPr>
          <w:rFonts w:hint="default" w:ascii="Times New Roman" w:hAnsi="Times New Roman" w:eastAsia="宋体" w:cs="Times New Roman"/>
        </w:rPr>
        <w:t>广东省医学会呼吸内镜与呼吸介入病学分会 委员</w:t>
      </w:r>
      <w:r>
        <w:rPr>
          <w:rFonts w:hint="eastAsia" w:ascii="Times New Roman" w:hAnsi="Times New Roman" w:eastAsia="宋体" w:cs="Times New Roman"/>
          <w:lang w:eastAsia="zh-CN"/>
        </w:rPr>
        <w:t>、</w:t>
      </w:r>
      <w:r>
        <w:rPr>
          <w:rFonts w:hint="default" w:ascii="Times New Roman" w:hAnsi="Times New Roman" w:eastAsia="宋体" w:cs="Times New Roman"/>
        </w:rPr>
        <w:t>广东省医学会呼吸病学分会 肺癌学组委员</w:t>
      </w:r>
      <w:r>
        <w:rPr>
          <w:rFonts w:hint="eastAsia" w:ascii="Times New Roman" w:hAnsi="Times New Roman" w:eastAsia="宋体" w:cs="Times New Roman"/>
          <w:lang w:eastAsia="zh-CN"/>
        </w:rPr>
        <w:t>、</w:t>
      </w:r>
      <w:r>
        <w:rPr>
          <w:rFonts w:hint="default" w:ascii="Times New Roman" w:hAnsi="Times New Roman" w:eastAsia="宋体" w:cs="Times New Roman"/>
        </w:rPr>
        <w:t>广东省医疗行业协会呼吸病管理分会 常务委员广东省胸部疾病学会呼吸肿瘤全程管理专委会 常务委员</w:t>
      </w:r>
      <w:r>
        <w:rPr>
          <w:rFonts w:hint="eastAsia" w:ascii="Times New Roman" w:hAnsi="Times New Roman" w:eastAsia="宋体" w:cs="Times New Roman"/>
          <w:lang w:eastAsia="zh-CN"/>
        </w:rPr>
        <w:t>、</w:t>
      </w:r>
      <w:r>
        <w:rPr>
          <w:rFonts w:hint="default" w:ascii="Times New Roman" w:hAnsi="Times New Roman" w:eastAsia="宋体" w:cs="Times New Roman"/>
        </w:rPr>
        <w:t>广东省肿瘤康复学会肺肿瘤专委会 常务委员</w:t>
      </w:r>
      <w:r>
        <w:rPr>
          <w:rFonts w:hint="eastAsia" w:ascii="Times New Roman" w:hAnsi="Times New Roman" w:eastAsia="宋体" w:cs="Times New Roman"/>
          <w:lang w:eastAsia="zh-CN"/>
        </w:rPr>
        <w:t>、</w:t>
      </w:r>
      <w:r>
        <w:rPr>
          <w:rFonts w:hint="default" w:ascii="Times New Roman" w:hAnsi="Times New Roman" w:eastAsia="宋体" w:cs="Times New Roman"/>
        </w:rPr>
        <w:t>广东省精准医学应用学会肺癌分会 委员</w:t>
      </w:r>
      <w:r>
        <w:rPr>
          <w:rFonts w:hint="eastAsia" w:ascii="Times New Roman" w:hAnsi="Times New Roman" w:eastAsia="宋体" w:cs="Times New Roman"/>
          <w:lang w:eastAsia="zh-CN"/>
        </w:rPr>
        <w:t>、</w:t>
      </w:r>
      <w:r>
        <w:rPr>
          <w:rFonts w:hint="default" w:ascii="Times New Roman" w:hAnsi="Times New Roman" w:eastAsia="宋体" w:cs="Times New Roman"/>
        </w:rPr>
        <w:t>粤西呼吸肿瘤与介入专科联盟 常务理事</w:t>
      </w:r>
    </w:p>
    <w:p w14:paraId="261B76C2">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lang w:val="en-US" w:eastAsia="zh-CN"/>
        </w:rPr>
      </w:pPr>
      <w:r>
        <w:rPr>
          <w:rFonts w:hint="default" w:ascii="Times New Roman" w:hAnsi="Times New Roman" w:eastAsia="宋体" w:cs="Times New Roman"/>
          <w:sz w:val="24"/>
          <w:szCs w:val="24"/>
        </w:rPr>
        <w:t>主要研究方向（意向承接试验专业方向或病种）：</w:t>
      </w:r>
      <w:r>
        <w:rPr>
          <w:rFonts w:hint="default" w:ascii="Times New Roman" w:hAnsi="Times New Roman" w:eastAsia="宋体" w:cs="Times New Roman"/>
          <w:sz w:val="24"/>
          <w:szCs w:val="24"/>
          <w:lang w:val="en-US" w:eastAsia="zh-CN"/>
        </w:rPr>
        <w:t>呼吸</w:t>
      </w:r>
      <w:r>
        <w:rPr>
          <w:rFonts w:hint="eastAsia" w:ascii="Times New Roman" w:hAnsi="Times New Roman" w:eastAsia="宋体" w:cs="Times New Roman"/>
          <w:sz w:val="24"/>
          <w:szCs w:val="24"/>
          <w:lang w:val="en-US" w:eastAsia="zh-CN"/>
        </w:rPr>
        <w:t>系统</w:t>
      </w:r>
      <w:r>
        <w:rPr>
          <w:rFonts w:hint="default" w:ascii="Times New Roman" w:hAnsi="Times New Roman" w:eastAsia="宋体" w:cs="Times New Roman"/>
          <w:sz w:val="24"/>
          <w:szCs w:val="24"/>
          <w:lang w:val="en-US" w:eastAsia="zh-CN"/>
        </w:rPr>
        <w:t>疾病</w:t>
      </w:r>
      <w:r>
        <w:rPr>
          <w:rFonts w:hint="eastAsia" w:ascii="Times New Roman" w:hAnsi="Times New Roman" w:eastAsia="宋体" w:cs="Times New Roman"/>
          <w:sz w:val="24"/>
          <w:szCs w:val="24"/>
          <w:lang w:val="en-US" w:eastAsia="zh-CN"/>
        </w:rPr>
        <w:t>、肺癌</w:t>
      </w:r>
    </w:p>
    <w:p w14:paraId="6402A10C">
      <w:pPr>
        <w:keepNext w:val="0"/>
        <w:keepLines w:val="0"/>
        <w:pageBreakBefore w:val="0"/>
        <w:widowControl/>
        <w:kinsoku/>
        <w:wordWrap/>
        <w:overflowPunct/>
        <w:topLinePunct w:val="0"/>
        <w:autoSpaceDE/>
        <w:autoSpaceDN/>
        <w:bidi w:val="0"/>
        <w:adjustRightInd/>
        <w:snapToGrid/>
        <w:spacing w:before="180" w:beforeAutospacing="0" w:after="180" w:afterAutospacing="0" w:line="360" w:lineRule="auto"/>
        <w:ind w:firstLine="480" w:firstLineChars="200"/>
        <w:jc w:val="left"/>
        <w:textAlignment w:val="auto"/>
        <w:rPr>
          <w:rFonts w:hint="default" w:ascii="Times New Roman" w:hAnsi="Times New Roman" w:eastAsia="宋体" w:cs="Times New Roman"/>
          <w:color w:val="000000"/>
          <w:w w:val="90"/>
          <w:sz w:val="24"/>
          <w:szCs w:val="24"/>
        </w:rPr>
      </w:pPr>
      <w:r>
        <w:rPr>
          <w:rFonts w:hint="default" w:ascii="Times New Roman" w:hAnsi="Times New Roman" w:eastAsia="宋体" w:cs="Times New Roman"/>
          <w:sz w:val="24"/>
          <w:szCs w:val="24"/>
          <w:lang w:val="en-US" w:eastAsia="zh-CN"/>
        </w:rPr>
        <w:t>【参与研究】</w:t>
      </w:r>
    </w:p>
    <w:tbl>
      <w:tblPr>
        <w:tblStyle w:val="4"/>
        <w:tblW w:w="8398"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781"/>
        <w:gridCol w:w="5839"/>
        <w:gridCol w:w="1778"/>
      </w:tblGrid>
      <w:tr w14:paraId="43D355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6" w:hRule="atLeast"/>
          <w:tblCellSpacing w:w="0" w:type="dxa"/>
          <w:jc w:val="center"/>
        </w:trPr>
        <w:tc>
          <w:tcPr>
            <w:tcW w:w="751" w:type="dxa"/>
            <w:tcBorders>
              <w:top w:val="single" w:color="auto" w:sz="6" w:space="0"/>
              <w:left w:val="single" w:color="auto" w:sz="6" w:space="0"/>
              <w:bottom w:val="single" w:color="auto" w:sz="6" w:space="0"/>
              <w:right w:val="single" w:color="auto" w:sz="6" w:space="0"/>
            </w:tcBorders>
            <w:shd w:val="clear" w:color="auto" w:fill="auto"/>
            <w:noWrap/>
            <w:tcMar>
              <w:left w:w="105" w:type="dxa"/>
              <w:right w:w="105" w:type="dxa"/>
            </w:tcMar>
            <w:vAlign w:val="center"/>
          </w:tcPr>
          <w:p w14:paraId="24CEF7B7">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b/>
                <w:bCs/>
              </w:rPr>
            </w:pPr>
            <w:r>
              <w:rPr>
                <w:rFonts w:hint="default" w:ascii="Times New Roman" w:hAnsi="Times New Roman" w:eastAsia="宋体" w:cs="Times New Roman"/>
                <w:b/>
                <w:bCs/>
                <w:color w:val="000000"/>
                <w:sz w:val="24"/>
                <w:szCs w:val="24"/>
              </w:rPr>
              <w:t>No.</w:t>
            </w:r>
          </w:p>
        </w:tc>
        <w:tc>
          <w:tcPr>
            <w:tcW w:w="5863"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1559C1CB">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b/>
                <w:bCs/>
              </w:rPr>
            </w:pPr>
            <w:r>
              <w:rPr>
                <w:rFonts w:hint="default" w:ascii="Times New Roman" w:hAnsi="Times New Roman" w:eastAsia="宋体" w:cs="Times New Roman"/>
                <w:b/>
                <w:bCs/>
                <w:color w:val="000000"/>
                <w:sz w:val="24"/>
                <w:szCs w:val="24"/>
              </w:rPr>
              <w:t>项目名称</w:t>
            </w:r>
          </w:p>
        </w:tc>
        <w:tc>
          <w:tcPr>
            <w:tcW w:w="1784"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0403C564">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b/>
                <w:bCs/>
                <w:color w:val="000000"/>
                <w:sz w:val="24"/>
                <w:szCs w:val="24"/>
                <w:lang w:val="en-US" w:eastAsia="zh-CN"/>
              </w:rPr>
            </w:pPr>
            <w:r>
              <w:rPr>
                <w:rFonts w:hint="eastAsia" w:ascii="Times New Roman" w:hAnsi="Times New Roman" w:eastAsia="宋体" w:cs="Times New Roman"/>
                <w:b/>
                <w:bCs/>
                <w:color w:val="000000"/>
                <w:sz w:val="24"/>
                <w:szCs w:val="24"/>
                <w:lang w:val="en-US" w:eastAsia="zh-CN"/>
              </w:rPr>
              <w:t>备注</w:t>
            </w:r>
          </w:p>
        </w:tc>
      </w:tr>
      <w:tr w14:paraId="54E297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70" w:hRule="atLeast"/>
          <w:tblCellSpacing w:w="0" w:type="dxa"/>
          <w:jc w:val="center"/>
        </w:trPr>
        <w:tc>
          <w:tcPr>
            <w:tcW w:w="751"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402FAF7A">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1</w:t>
            </w:r>
          </w:p>
        </w:tc>
        <w:tc>
          <w:tcPr>
            <w:tcW w:w="5863" w:type="dxa"/>
            <w:tcBorders>
              <w:top w:val="nil"/>
              <w:left w:val="nil"/>
              <w:bottom w:val="single" w:color="auto" w:sz="6" w:space="0"/>
              <w:right w:val="single" w:color="auto" w:sz="6" w:space="0"/>
            </w:tcBorders>
            <w:shd w:val="clear" w:color="auto" w:fill="auto"/>
            <w:tcMar>
              <w:left w:w="105" w:type="dxa"/>
              <w:right w:w="105" w:type="dxa"/>
            </w:tcMar>
            <w:vAlign w:val="center"/>
          </w:tcPr>
          <w:p w14:paraId="7CDADA96">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评价CXG87吸入粉雾剂治疗成人支气管哮喘临床有效性和安全性的多中心、随机、盲法、阳性药物平行对照的</w:t>
            </w:r>
            <w:r>
              <w:rPr>
                <w:rFonts w:hint="default" w:ascii="Times New Roman" w:hAnsi="Times New Roman" w:eastAsia="宋体" w:cs="Times New Roman"/>
                <w:spacing w:val="3"/>
              </w:rPr>
              <w:t>III</w:t>
            </w:r>
            <w:r>
              <w:rPr>
                <w:rFonts w:hint="default" w:ascii="Times New Roman" w:hAnsi="Times New Roman" w:eastAsia="宋体" w:cs="Times New Roman"/>
              </w:rPr>
              <w:t>期临床试验</w:t>
            </w:r>
          </w:p>
        </w:tc>
        <w:tc>
          <w:tcPr>
            <w:tcW w:w="1784" w:type="dxa"/>
            <w:tcBorders>
              <w:top w:val="nil"/>
              <w:left w:val="nil"/>
              <w:bottom w:val="single" w:color="auto" w:sz="6" w:space="0"/>
              <w:right w:val="single" w:color="auto" w:sz="6" w:space="0"/>
            </w:tcBorders>
            <w:shd w:val="clear" w:color="auto" w:fill="auto"/>
            <w:tcMar>
              <w:left w:w="105" w:type="dxa"/>
              <w:right w:w="105" w:type="dxa"/>
            </w:tcMar>
            <w:vAlign w:val="center"/>
          </w:tcPr>
          <w:p w14:paraId="407121DD">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入组：18例</w:t>
            </w:r>
          </w:p>
        </w:tc>
      </w:tr>
      <w:tr w14:paraId="3EF5A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51" w:hRule="atLeast"/>
          <w:tblCellSpacing w:w="0" w:type="dxa"/>
          <w:jc w:val="center"/>
        </w:trPr>
        <w:tc>
          <w:tcPr>
            <w:tcW w:w="751"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28F9402A">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2</w:t>
            </w:r>
          </w:p>
        </w:tc>
        <w:tc>
          <w:tcPr>
            <w:tcW w:w="5863" w:type="dxa"/>
            <w:tcBorders>
              <w:top w:val="nil"/>
              <w:left w:val="nil"/>
              <w:bottom w:val="single" w:color="auto" w:sz="6" w:space="0"/>
              <w:right w:val="single" w:color="auto" w:sz="6" w:space="0"/>
            </w:tcBorders>
            <w:shd w:val="clear" w:color="auto" w:fill="auto"/>
            <w:tcMar>
              <w:left w:w="105" w:type="dxa"/>
              <w:right w:w="105" w:type="dxa"/>
            </w:tcMar>
            <w:vAlign w:val="center"/>
          </w:tcPr>
          <w:p w14:paraId="2803A04A">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一项评价BAT3306联合化疗与可瑞达®联合化疗在IV期非鳞状非小细胞肺癌受试者中的药代动力学、有效性和安全性的多中心、随机、双盲I/III期研究</w:t>
            </w:r>
          </w:p>
        </w:tc>
        <w:tc>
          <w:tcPr>
            <w:tcW w:w="1784" w:type="dxa"/>
            <w:tcBorders>
              <w:top w:val="nil"/>
              <w:left w:val="nil"/>
              <w:bottom w:val="single" w:color="auto" w:sz="6" w:space="0"/>
              <w:right w:val="single" w:color="auto" w:sz="6" w:space="0"/>
            </w:tcBorders>
            <w:shd w:val="clear" w:color="auto" w:fill="auto"/>
            <w:tcMar>
              <w:left w:w="105" w:type="dxa"/>
              <w:right w:w="105" w:type="dxa"/>
            </w:tcMar>
            <w:vAlign w:val="center"/>
          </w:tcPr>
          <w:p w14:paraId="391F264E">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p>
        </w:tc>
      </w:tr>
      <w:tr w14:paraId="439C6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70" w:hRule="atLeast"/>
          <w:tblCellSpacing w:w="0" w:type="dxa"/>
          <w:jc w:val="center"/>
        </w:trPr>
        <w:tc>
          <w:tcPr>
            <w:tcW w:w="751"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6A851D9B">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3</w:t>
            </w:r>
          </w:p>
        </w:tc>
        <w:tc>
          <w:tcPr>
            <w:tcW w:w="5863" w:type="dxa"/>
            <w:tcBorders>
              <w:top w:val="nil"/>
              <w:left w:val="nil"/>
              <w:bottom w:val="single" w:color="auto" w:sz="6" w:space="0"/>
              <w:right w:val="single" w:color="auto" w:sz="6" w:space="0"/>
            </w:tcBorders>
            <w:shd w:val="clear" w:color="auto" w:fill="auto"/>
            <w:tcMar>
              <w:left w:w="105" w:type="dxa"/>
              <w:right w:w="105" w:type="dxa"/>
            </w:tcMar>
            <w:vAlign w:val="center"/>
          </w:tcPr>
          <w:p w14:paraId="2C348E53">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lang w:val="en-US" w:eastAsia="zh-CN"/>
              </w:rPr>
              <w:t>MG-K10人源化单抗注射液在青少年和成人中重度哮喘患者中的有效性和安全性的随机、双盲、安慰剂对照 II 期临床试验</w:t>
            </w:r>
          </w:p>
        </w:tc>
        <w:tc>
          <w:tcPr>
            <w:tcW w:w="1784" w:type="dxa"/>
            <w:tcBorders>
              <w:top w:val="nil"/>
              <w:left w:val="nil"/>
              <w:bottom w:val="single" w:color="auto" w:sz="6" w:space="0"/>
              <w:right w:val="single" w:color="auto" w:sz="6" w:space="0"/>
            </w:tcBorders>
            <w:shd w:val="clear" w:color="auto" w:fill="auto"/>
            <w:tcMar>
              <w:left w:w="105" w:type="dxa"/>
              <w:right w:w="105" w:type="dxa"/>
            </w:tcMar>
            <w:vAlign w:val="center"/>
          </w:tcPr>
          <w:p w14:paraId="747C7010">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spacing w:val="3"/>
              </w:rPr>
            </w:pPr>
          </w:p>
        </w:tc>
      </w:tr>
      <w:tr w14:paraId="692CC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70" w:hRule="atLeast"/>
          <w:tblCellSpacing w:w="0" w:type="dxa"/>
          <w:jc w:val="center"/>
        </w:trPr>
        <w:tc>
          <w:tcPr>
            <w:tcW w:w="751"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02BB7A8C">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4</w:t>
            </w:r>
          </w:p>
        </w:tc>
        <w:tc>
          <w:tcPr>
            <w:tcW w:w="5863" w:type="dxa"/>
            <w:tcBorders>
              <w:top w:val="nil"/>
              <w:left w:val="nil"/>
              <w:bottom w:val="single" w:color="auto" w:sz="6" w:space="0"/>
              <w:right w:val="single" w:color="auto" w:sz="6" w:space="0"/>
            </w:tcBorders>
            <w:shd w:val="clear" w:color="auto" w:fill="auto"/>
            <w:tcMar>
              <w:left w:w="105" w:type="dxa"/>
              <w:right w:w="105" w:type="dxa"/>
            </w:tcMar>
            <w:vAlign w:val="center"/>
          </w:tcPr>
          <w:p w14:paraId="7C163B18">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lang w:val="en-US" w:eastAsia="zh-CN"/>
              </w:rPr>
            </w:pPr>
            <w:r>
              <w:rPr>
                <w:rFonts w:hint="default" w:ascii="Times New Roman" w:hAnsi="Times New Roman" w:eastAsia="宋体" w:cs="Times New Roman"/>
                <w:spacing w:val="3"/>
              </w:rPr>
              <w:t>评价倍氯米松福莫特罗吸入气雾剂在哮喘患者中有效性和安全性的多中心、随机、双盲双模拟、阳性药物平行对照的Ⅲ期临床试验</w:t>
            </w:r>
          </w:p>
        </w:tc>
        <w:tc>
          <w:tcPr>
            <w:tcW w:w="1784" w:type="dxa"/>
            <w:tcBorders>
              <w:top w:val="nil"/>
              <w:left w:val="nil"/>
              <w:bottom w:val="single" w:color="auto" w:sz="6" w:space="0"/>
              <w:right w:val="single" w:color="auto" w:sz="6" w:space="0"/>
            </w:tcBorders>
            <w:shd w:val="clear" w:color="auto" w:fill="auto"/>
            <w:tcMar>
              <w:left w:w="105" w:type="dxa"/>
              <w:right w:w="105" w:type="dxa"/>
            </w:tcMar>
            <w:vAlign w:val="center"/>
          </w:tcPr>
          <w:p w14:paraId="28A5065C">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eastAsia" w:ascii="Times New Roman" w:hAnsi="Times New Roman" w:eastAsia="宋体" w:cs="Times New Roman"/>
                <w:spacing w:val="2"/>
                <w:lang w:val="en-US" w:eastAsia="zh-CN"/>
              </w:rPr>
            </w:pPr>
          </w:p>
        </w:tc>
      </w:tr>
      <w:tr w14:paraId="1E2A23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70" w:hRule="atLeast"/>
          <w:tblCellSpacing w:w="0" w:type="dxa"/>
          <w:jc w:val="center"/>
        </w:trPr>
        <w:tc>
          <w:tcPr>
            <w:tcW w:w="751"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3C537856">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5</w:t>
            </w:r>
          </w:p>
        </w:tc>
        <w:tc>
          <w:tcPr>
            <w:tcW w:w="5863" w:type="dxa"/>
            <w:tcBorders>
              <w:top w:val="nil"/>
              <w:left w:val="nil"/>
              <w:bottom w:val="single" w:color="auto" w:sz="6" w:space="0"/>
              <w:right w:val="single" w:color="auto" w:sz="6" w:space="0"/>
            </w:tcBorders>
            <w:shd w:val="clear" w:color="auto" w:fill="auto"/>
            <w:tcMar>
              <w:left w:w="105" w:type="dxa"/>
              <w:right w:w="105" w:type="dxa"/>
            </w:tcMar>
            <w:vAlign w:val="center"/>
          </w:tcPr>
          <w:p w14:paraId="080AC8B6">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spacing w:val="2"/>
              </w:rPr>
              <w:t>评价帕拉米韦吸入溶液治疗成人无并发症单纯性流感的有效性及安全性的多中心、随机、双盲、安慰剂平行对照的Ⅲ期临床研究</w:t>
            </w:r>
          </w:p>
        </w:tc>
        <w:tc>
          <w:tcPr>
            <w:tcW w:w="1784" w:type="dxa"/>
            <w:tcBorders>
              <w:top w:val="nil"/>
              <w:left w:val="nil"/>
              <w:bottom w:val="single" w:color="auto" w:sz="6" w:space="0"/>
              <w:right w:val="single" w:color="auto" w:sz="6" w:space="0"/>
            </w:tcBorders>
            <w:shd w:val="clear" w:color="auto" w:fill="auto"/>
            <w:tcMar>
              <w:left w:w="105" w:type="dxa"/>
              <w:right w:w="105" w:type="dxa"/>
            </w:tcMar>
            <w:vAlign w:val="center"/>
          </w:tcPr>
          <w:p w14:paraId="7781E0BB">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lang w:val="en-US" w:eastAsia="zh-CN"/>
              </w:rPr>
            </w:pPr>
          </w:p>
        </w:tc>
      </w:tr>
      <w:tr w14:paraId="3584B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70" w:hRule="atLeast"/>
          <w:tblCellSpacing w:w="0" w:type="dxa"/>
          <w:jc w:val="center"/>
        </w:trPr>
        <w:tc>
          <w:tcPr>
            <w:tcW w:w="751"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425624C0">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6</w:t>
            </w:r>
          </w:p>
        </w:tc>
        <w:tc>
          <w:tcPr>
            <w:tcW w:w="5863" w:type="dxa"/>
            <w:tcBorders>
              <w:top w:val="nil"/>
              <w:left w:val="nil"/>
              <w:bottom w:val="single" w:color="auto" w:sz="6" w:space="0"/>
              <w:right w:val="single" w:color="auto" w:sz="6" w:space="0"/>
            </w:tcBorders>
            <w:shd w:val="clear" w:color="auto" w:fill="auto"/>
            <w:tcMar>
              <w:left w:w="105" w:type="dxa"/>
              <w:right w:w="105" w:type="dxa"/>
            </w:tcMar>
            <w:vAlign w:val="center"/>
          </w:tcPr>
          <w:p w14:paraId="0DA5B003">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评价沙美特罗替卡松吸入粉雾剂治疗成人支气管哮喘临床有效性和安全性的多中心、随机、盲法、阳性药物平行对照III期临床试验</w:t>
            </w:r>
          </w:p>
        </w:tc>
        <w:tc>
          <w:tcPr>
            <w:tcW w:w="1784" w:type="dxa"/>
            <w:tcBorders>
              <w:top w:val="nil"/>
              <w:left w:val="nil"/>
              <w:bottom w:val="single" w:color="auto" w:sz="6" w:space="0"/>
              <w:right w:val="single" w:color="auto" w:sz="6" w:space="0"/>
            </w:tcBorders>
            <w:shd w:val="clear" w:color="auto" w:fill="auto"/>
            <w:tcMar>
              <w:left w:w="105" w:type="dxa"/>
              <w:right w:w="105" w:type="dxa"/>
            </w:tcMar>
            <w:vAlign w:val="center"/>
          </w:tcPr>
          <w:p w14:paraId="70A2AD30">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p>
        </w:tc>
      </w:tr>
      <w:tr w14:paraId="332114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70" w:hRule="atLeast"/>
          <w:tblCellSpacing w:w="0" w:type="dxa"/>
          <w:jc w:val="center"/>
        </w:trPr>
        <w:tc>
          <w:tcPr>
            <w:tcW w:w="751"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3BB50D2D">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7</w:t>
            </w:r>
          </w:p>
        </w:tc>
        <w:tc>
          <w:tcPr>
            <w:tcW w:w="5863" w:type="dxa"/>
            <w:tcBorders>
              <w:top w:val="nil"/>
              <w:left w:val="nil"/>
              <w:bottom w:val="single" w:color="auto" w:sz="6" w:space="0"/>
              <w:right w:val="single" w:color="auto" w:sz="6" w:space="0"/>
            </w:tcBorders>
            <w:shd w:val="clear" w:color="auto" w:fill="auto"/>
            <w:tcMar>
              <w:left w:w="105" w:type="dxa"/>
              <w:right w:w="105" w:type="dxa"/>
            </w:tcMar>
            <w:vAlign w:val="center"/>
          </w:tcPr>
          <w:p w14:paraId="137E2525">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蝉蜕止咳颗粒治疗急性气管-支气管炎（咳嗽，风热犯肺证）有效性和安全性的随机、双盲、安慰剂平行对照、多中心Ⅲ期临床试验</w:t>
            </w:r>
          </w:p>
        </w:tc>
        <w:tc>
          <w:tcPr>
            <w:tcW w:w="1784" w:type="dxa"/>
            <w:tcBorders>
              <w:top w:val="nil"/>
              <w:left w:val="nil"/>
              <w:bottom w:val="single" w:color="auto" w:sz="6" w:space="0"/>
              <w:right w:val="single" w:color="auto" w:sz="6" w:space="0"/>
            </w:tcBorders>
            <w:shd w:val="clear" w:color="auto" w:fill="auto"/>
            <w:tcMar>
              <w:left w:w="105" w:type="dxa"/>
              <w:right w:w="105" w:type="dxa"/>
            </w:tcMar>
            <w:vAlign w:val="center"/>
          </w:tcPr>
          <w:p w14:paraId="5052C823">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eastAsia" w:ascii="Times New Roman" w:hAnsi="Times New Roman" w:eastAsia="宋体" w:cs="Times New Roman"/>
                <w:lang w:val="en-US" w:eastAsia="zh-CN"/>
              </w:rPr>
            </w:pPr>
          </w:p>
        </w:tc>
      </w:tr>
      <w:tr w14:paraId="77E0EF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70" w:hRule="atLeast"/>
          <w:tblCellSpacing w:w="0" w:type="dxa"/>
          <w:jc w:val="center"/>
        </w:trPr>
        <w:tc>
          <w:tcPr>
            <w:tcW w:w="751"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37004B86">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8</w:t>
            </w:r>
          </w:p>
        </w:tc>
        <w:tc>
          <w:tcPr>
            <w:tcW w:w="5863" w:type="dxa"/>
            <w:tcBorders>
              <w:top w:val="nil"/>
              <w:left w:val="nil"/>
              <w:bottom w:val="single" w:color="auto" w:sz="6" w:space="0"/>
              <w:right w:val="single" w:color="auto" w:sz="6" w:space="0"/>
            </w:tcBorders>
            <w:shd w:val="clear" w:color="auto" w:fill="auto"/>
            <w:tcMar>
              <w:left w:w="105" w:type="dxa"/>
              <w:right w:w="105" w:type="dxa"/>
            </w:tcMar>
            <w:vAlign w:val="center"/>
          </w:tcPr>
          <w:p w14:paraId="43C13397">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评价布地奈德福莫特罗吸入粉雾剂(I)治疗哮喘患者有效性和安全性的多中心、随机、双盲、阳性药平行对照Ш期临床研究</w:t>
            </w:r>
          </w:p>
        </w:tc>
        <w:tc>
          <w:tcPr>
            <w:tcW w:w="1784" w:type="dxa"/>
            <w:tcBorders>
              <w:top w:val="nil"/>
              <w:left w:val="nil"/>
              <w:bottom w:val="single" w:color="auto" w:sz="6" w:space="0"/>
              <w:right w:val="single" w:color="auto" w:sz="6" w:space="0"/>
            </w:tcBorders>
            <w:shd w:val="clear" w:color="auto" w:fill="auto"/>
            <w:tcMar>
              <w:left w:w="105" w:type="dxa"/>
              <w:right w:w="105" w:type="dxa"/>
            </w:tcMar>
            <w:vAlign w:val="center"/>
          </w:tcPr>
          <w:p w14:paraId="125CC83B">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spacing w:val="3"/>
              </w:rPr>
            </w:pPr>
          </w:p>
        </w:tc>
      </w:tr>
      <w:tr w14:paraId="53522B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70" w:hRule="atLeast"/>
          <w:tblCellSpacing w:w="0" w:type="dxa"/>
          <w:jc w:val="center"/>
        </w:trPr>
        <w:tc>
          <w:tcPr>
            <w:tcW w:w="751"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3ED003AE">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9</w:t>
            </w:r>
          </w:p>
        </w:tc>
        <w:tc>
          <w:tcPr>
            <w:tcW w:w="5863" w:type="dxa"/>
            <w:tcBorders>
              <w:top w:val="nil"/>
              <w:left w:val="nil"/>
              <w:bottom w:val="single" w:color="auto" w:sz="6" w:space="0"/>
              <w:right w:val="single" w:color="auto" w:sz="6" w:space="0"/>
            </w:tcBorders>
            <w:shd w:val="clear" w:color="auto" w:fill="auto"/>
            <w:tcMar>
              <w:left w:w="105" w:type="dxa"/>
              <w:right w:w="105" w:type="dxa"/>
            </w:tcMar>
            <w:vAlign w:val="center"/>
          </w:tcPr>
          <w:p w14:paraId="2DE267A2">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一项评估STSA-1002注射液在急性呼吸窘迫综合征患者中的有效性和安全性的多中心、随机、双盲、安慰剂对照的Ⅲ期临床研究</w:t>
            </w:r>
          </w:p>
        </w:tc>
        <w:tc>
          <w:tcPr>
            <w:tcW w:w="1784" w:type="dxa"/>
            <w:tcBorders>
              <w:top w:val="nil"/>
              <w:left w:val="nil"/>
              <w:bottom w:val="single" w:color="auto" w:sz="6" w:space="0"/>
              <w:right w:val="single" w:color="auto" w:sz="6" w:space="0"/>
            </w:tcBorders>
            <w:shd w:val="clear" w:color="auto" w:fill="auto"/>
            <w:tcMar>
              <w:left w:w="105" w:type="dxa"/>
              <w:right w:w="105" w:type="dxa"/>
            </w:tcMar>
            <w:vAlign w:val="center"/>
          </w:tcPr>
          <w:p w14:paraId="60D50B6A">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p>
        </w:tc>
      </w:tr>
      <w:tr w14:paraId="7821B3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70" w:hRule="atLeast"/>
          <w:tblCellSpacing w:w="0" w:type="dxa"/>
          <w:jc w:val="center"/>
        </w:trPr>
        <w:tc>
          <w:tcPr>
            <w:tcW w:w="751"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5560D0E2">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10</w:t>
            </w:r>
          </w:p>
        </w:tc>
        <w:tc>
          <w:tcPr>
            <w:tcW w:w="5863" w:type="dxa"/>
            <w:tcBorders>
              <w:top w:val="nil"/>
              <w:left w:val="nil"/>
              <w:bottom w:val="single" w:color="auto" w:sz="6" w:space="0"/>
              <w:right w:val="single" w:color="auto" w:sz="6" w:space="0"/>
            </w:tcBorders>
            <w:shd w:val="clear" w:color="auto" w:fill="auto"/>
            <w:tcMar>
              <w:left w:w="105" w:type="dxa"/>
              <w:right w:w="105" w:type="dxa"/>
            </w:tcMar>
            <w:vAlign w:val="center"/>
          </w:tcPr>
          <w:p w14:paraId="43C0B898">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一项在COPD伴2型炎症成人受试者中评价depemokimab有效性和安全性的随机、双盲、安慰剂对照、平行组、多中心研究</w:t>
            </w:r>
          </w:p>
        </w:tc>
        <w:tc>
          <w:tcPr>
            <w:tcW w:w="1784" w:type="dxa"/>
            <w:tcBorders>
              <w:top w:val="nil"/>
              <w:left w:val="nil"/>
              <w:bottom w:val="single" w:color="auto" w:sz="6" w:space="0"/>
              <w:right w:val="single" w:color="auto" w:sz="6" w:space="0"/>
            </w:tcBorders>
            <w:shd w:val="clear" w:color="auto" w:fill="auto"/>
            <w:tcMar>
              <w:left w:w="105" w:type="dxa"/>
              <w:right w:w="105" w:type="dxa"/>
            </w:tcMar>
            <w:vAlign w:val="center"/>
          </w:tcPr>
          <w:p w14:paraId="55DAD132">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0" w:firstLineChars="0"/>
              <w:jc w:val="center"/>
              <w:textAlignment w:val="auto"/>
              <w:rPr>
                <w:rFonts w:hint="default" w:ascii="Times New Roman" w:hAnsi="Times New Roman" w:eastAsia="宋体" w:cs="Times New Roman"/>
              </w:rPr>
            </w:pPr>
          </w:p>
        </w:tc>
      </w:tr>
    </w:tbl>
    <w:p w14:paraId="33589787">
      <w:pPr>
        <w:keepNext w:val="0"/>
        <w:keepLines w:val="0"/>
        <w:pageBreakBefore w:val="0"/>
        <w:kinsoku/>
        <w:wordWrap/>
        <w:overflowPunct/>
        <w:topLinePunct w:val="0"/>
        <w:autoSpaceDE/>
        <w:autoSpaceDN/>
        <w:bidi w:val="0"/>
        <w:adjustRightInd/>
        <w:snapToGrid/>
        <w:spacing w:beforeAutospacing="0" w:afterAutospacing="0" w:line="360" w:lineRule="auto"/>
        <w:ind w:firstLine="0" w:firstLineChars="0"/>
        <w:jc w:val="left"/>
        <w:textAlignment w:val="auto"/>
        <w:rPr>
          <w:rFonts w:hint="eastAsia" w:asciiTheme="minorEastAsia" w:hAnsiTheme="minorEastAsia" w:eastAsiaTheme="minorEastAsia" w:cstheme="minorEastAsia"/>
          <w:sz w:val="24"/>
          <w:szCs w:val="24"/>
        </w:rPr>
      </w:pPr>
      <w:bookmarkStart w:id="0" w:name="_GoBack"/>
      <w:bookmarkEnd w:id="0"/>
    </w:p>
    <w:sectPr>
      <w:pgSz w:w="11906" w:h="16838"/>
      <w:pgMar w:top="1440" w:right="1797" w:bottom="1440" w:left="179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604276"/>
    <w:rsid w:val="01A5277F"/>
    <w:rsid w:val="01D21755"/>
    <w:rsid w:val="05B22981"/>
    <w:rsid w:val="085336B5"/>
    <w:rsid w:val="09C120A6"/>
    <w:rsid w:val="0BD10FD4"/>
    <w:rsid w:val="0E9B1118"/>
    <w:rsid w:val="0ED33D44"/>
    <w:rsid w:val="151417DA"/>
    <w:rsid w:val="16197E6B"/>
    <w:rsid w:val="1CAD63A0"/>
    <w:rsid w:val="1D5D00D0"/>
    <w:rsid w:val="200E70B6"/>
    <w:rsid w:val="20CA3197"/>
    <w:rsid w:val="233676B8"/>
    <w:rsid w:val="26C12D22"/>
    <w:rsid w:val="277805D7"/>
    <w:rsid w:val="28A81B5B"/>
    <w:rsid w:val="292E39DC"/>
    <w:rsid w:val="292F3DC2"/>
    <w:rsid w:val="2E100032"/>
    <w:rsid w:val="2EF96879"/>
    <w:rsid w:val="2FCB3BF8"/>
    <w:rsid w:val="30323FA5"/>
    <w:rsid w:val="31A85B41"/>
    <w:rsid w:val="329C49EB"/>
    <w:rsid w:val="398D7BE6"/>
    <w:rsid w:val="39BE5963"/>
    <w:rsid w:val="3A9F303E"/>
    <w:rsid w:val="3CCC056A"/>
    <w:rsid w:val="3CF17716"/>
    <w:rsid w:val="410F1A7B"/>
    <w:rsid w:val="4162149D"/>
    <w:rsid w:val="442E38B9"/>
    <w:rsid w:val="44323F78"/>
    <w:rsid w:val="45FE7E3B"/>
    <w:rsid w:val="46530A72"/>
    <w:rsid w:val="499866AB"/>
    <w:rsid w:val="4A743FEF"/>
    <w:rsid w:val="4B361D2F"/>
    <w:rsid w:val="4D071C32"/>
    <w:rsid w:val="50C900C3"/>
    <w:rsid w:val="52265550"/>
    <w:rsid w:val="54691D09"/>
    <w:rsid w:val="587A039F"/>
    <w:rsid w:val="5A94715C"/>
    <w:rsid w:val="5BE35F38"/>
    <w:rsid w:val="5C0E6052"/>
    <w:rsid w:val="5D700D5D"/>
    <w:rsid w:val="5F1970D3"/>
    <w:rsid w:val="641F260F"/>
    <w:rsid w:val="6A920AEB"/>
    <w:rsid w:val="6AD959DC"/>
    <w:rsid w:val="6D437B25"/>
    <w:rsid w:val="6D9353A9"/>
    <w:rsid w:val="6DE371FD"/>
    <w:rsid w:val="6EDE4A13"/>
    <w:rsid w:val="70AE6D6B"/>
    <w:rsid w:val="789B0106"/>
    <w:rsid w:val="794455A6"/>
    <w:rsid w:val="7B194EBC"/>
    <w:rsid w:val="7DF862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qFormat/>
    <w:uiPriority w:val="0"/>
    <w:rPr>
      <w:color w:val="0000FF"/>
      <w:u w:val="single"/>
    </w:rPr>
  </w:style>
  <w:style w:type="paragraph" w:customStyle="1" w:styleId="8">
    <w:name w:val="Table Text"/>
    <w:basedOn w:val="1"/>
    <w:semiHidden/>
    <w:qFormat/>
    <w:uiPriority w:val="0"/>
    <w:rPr>
      <w:rFonts w:ascii="黑体" w:hAnsi="黑体" w:eastAsia="黑体" w:cs="黑体"/>
      <w:sz w:val="33"/>
      <w:szCs w:val="33"/>
      <w:lang w:val="en-US" w:eastAsia="en-US" w:bidi="ar-SA"/>
    </w:rPr>
  </w:style>
  <w:style w:type="table" w:customStyle="1" w:styleId="9">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3536</Words>
  <Characters>3858</Characters>
  <Lines>0</Lines>
  <Paragraphs>0</Paragraphs>
  <TotalTime>1</TotalTime>
  <ScaleCrop>false</ScaleCrop>
  <LinksUpToDate>false</LinksUpToDate>
  <CharactersWithSpaces>3895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2024-03-07T02:28:00Z</dcterms:created>
  <dc:creator>Administrator</dc:creator>
  <cp:lastModifiedBy>李倩</cp:lastModifiedBy>
  <dcterms:modified xsi:type="dcterms:W3CDTF">2025-11-27T08:16:51Z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1DC0409E1F78420FADB738E09C12DEFF_13</vt:lpwstr>
  </property>
  <property fmtid="{D5CDD505-2E9C-101B-9397-08002B2CF9AE}" pid="4" name="KSOTemplateDocerSaveRecord">
    <vt:lpwstr>eyJoZGlkIjoiOWQ0YWI2NGY4YTdlODYyMzc3ZDI4NDhhMzVhNjBlNjIiLCJ1c2VySWQiOiIzMTM4MTI4NjIifQ==</vt:lpwstr>
  </property>
</Properties>
</file>